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7322d6c37f1ef32c6e5620f9ac5334ce3ed6a78"/>
      <w:r>
        <w:t xml:space="preserve">FICHE TERRITOIRE – POLITIQUE DE LA VILLE : MAYOTTE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36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mayotte"/>
      <w:r>
        <w:t xml:space="preserve">Le plan banlieue dans Mayotte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4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Dembeni, Dzaoudzi, Mamoudzou et Pamandzi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de Mayotte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Kaweni, M’Gombani, Cavani, M’Tsapere, Doujani</w:t>
            </w:r>
          </w:p>
        </w:tc>
        <w:tc>
          <w:p>
            <w:pPr>
              <w:pStyle w:val="Compact"/>
              <w:jc w:val="right"/>
            </w:pPr>
            <w:r>
              <w:t xml:space="preserve">78 680 €</w:t>
            </w:r>
          </w:p>
        </w:tc>
        <w:tc>
          <w:p>
            <w:pPr>
              <w:pStyle w:val="Compact"/>
              <w:jc w:val="right"/>
            </w:pPr>
            <w:r>
              <w:t xml:space="preserve">175 000 €</w:t>
            </w:r>
          </w:p>
        </w:tc>
        <w:tc>
          <w:p>
            <w:pPr>
              <w:pStyle w:val="Compact"/>
              <w:jc w:val="right"/>
            </w:pPr>
            <w:r>
              <w:t xml:space="preserve">5</w:t>
            </w:r>
          </w:p>
        </w:tc>
        <w:tc>
          <w:p>
            <w:pPr>
              <w:pStyle w:val="Compact"/>
              <w:jc w:val="right"/>
            </w:pPr>
            <w:r>
              <w:t xml:space="preserve">5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cités-de-lemploi"/>
      <w:r>
        <w:t xml:space="preserve">Cités de l’emploi</w:t>
      </w:r>
      <w:bookmarkEnd w:id="25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6" w:name="zfu-sur-le-département"/>
      <w:r>
        <w:t xml:space="preserve">ZFU sur le département</w:t>
      </w:r>
      <w:bookmarkEnd w:id="26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7" w:name="france-relance-sur-le-département"/>
      <w:r>
        <w:t xml:space="preserve">France Relance sur le département</w:t>
      </w:r>
      <w:bookmarkEnd w:id="27"/>
    </w:p>
    <w:p>
      <w:pPr>
        <w:pStyle w:val="FirstParagraph"/>
      </w:pPr>
      <w:r>
        <w:t xml:space="preserve">France Relance c’est donner des perspectives aux jeunes avec le plan « 1 jeune, 1 solution » : plus de 2 200 jeunes mahorais, ont bénéficié du « plan jeunes » en 2020 dont :</w:t>
      </w:r>
    </w:p>
    <w:p>
      <w:pPr>
        <w:numPr>
          <w:numId w:val="1006"/>
          <w:ilvl w:val="0"/>
        </w:numPr>
      </w:pPr>
      <w:r>
        <w:t xml:space="preserve">39 primes à l’embauche financées par France Relance</w:t>
      </w:r>
    </w:p>
    <w:p>
      <w:pPr>
        <w:numPr>
          <w:numId w:val="1006"/>
          <w:ilvl w:val="0"/>
        </w:numPr>
      </w:pPr>
      <w:r>
        <w:t xml:space="preserve">107 contrats d’apprentissage aidés par France Relance</w:t>
      </w:r>
    </w:p>
    <w:p>
      <w:pPr>
        <w:numPr>
          <w:numId w:val="1006"/>
          <w:ilvl w:val="0"/>
        </w:numPr>
      </w:pPr>
      <w:r>
        <w:t xml:space="preserve">474 jeunes entrés en garantie jeune</w:t>
      </w:r>
    </w:p>
    <w:p>
      <w:pPr>
        <w:numPr>
          <w:numId w:val="1006"/>
          <w:ilvl w:val="0"/>
        </w:numPr>
      </w:pPr>
      <w:r>
        <w:t xml:space="preserve">1 582 jeunes recrutés en parcours emploi compétences</w:t>
      </w:r>
    </w:p>
    <w:p>
      <w:pPr>
        <w:pStyle w:val="FirstParagraph"/>
      </w:pPr>
      <w:r>
        <w:t xml:space="preserve">France Relance c’est l’Etat aux côtés des communes de Mayotte dans leurs projets d’investissement local : 5 communes et établissement public de coopération intercommunale (EPCI) ont bénéficié de 2,5 millions d’euros de dotation à l’investissement local pour réaliser 5,4 millions d’euros d’investissements publics et notamment :</w:t>
      </w:r>
    </w:p>
    <w:p>
      <w:pPr>
        <w:numPr>
          <w:numId w:val="1007"/>
          <w:ilvl w:val="0"/>
        </w:numPr>
      </w:pPr>
      <w:r>
        <w:t xml:space="preserve">La mise en conformité de l’éclairage public à Bandrélé</w:t>
      </w:r>
    </w:p>
    <w:p>
      <w:pPr>
        <w:numPr>
          <w:numId w:val="1007"/>
          <w:ilvl w:val="0"/>
        </w:numPr>
      </w:pPr>
      <w:r>
        <w:t xml:space="preserve">La sécurisation et mise en conformité urgente du système d’éclairage des équipements sportifs à Ouangani</w:t>
      </w:r>
    </w:p>
    <w:p>
      <w:pPr>
        <w:numPr>
          <w:numId w:val="1007"/>
          <w:ilvl w:val="0"/>
        </w:numPr>
      </w:pPr>
      <w:r>
        <w:t xml:space="preserve">L’aménagement de la place publique des Badamiers à Dzoudzi-Labattoir.</w:t>
      </w:r>
    </w:p>
    <w:p>
      <w:pPr>
        <w:pStyle w:val="Titre4"/>
      </w:pPr>
      <w:bookmarkStart w:id="28" w:name="quartiers-productifs"/>
      <w:r>
        <w:t xml:space="preserve">Quartiers productifs</w:t>
      </w:r>
      <w:bookmarkEnd w:id="28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29" w:name="éducation"/>
      <w:r>
        <w:t xml:space="preserve">Éducation</w:t>
      </w:r>
      <w:bookmarkEnd w:id="29"/>
    </w:p>
    <w:p>
      <w:pPr>
        <w:pStyle w:val="Titre4"/>
      </w:pPr>
      <w:bookmarkStart w:id="30" w:name="collèges"/>
      <w:r>
        <w:t xml:space="preserve">Collèges</w:t>
      </w:r>
      <w:bookmarkEnd w:id="30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1" w:name="cités-éducatives"/>
      <w:r>
        <w:t xml:space="preserve">Cités éducatives</w:t>
      </w:r>
      <w:bookmarkEnd w:id="31"/>
    </w:p>
    <w:p>
      <w:pPr>
        <w:pStyle w:val="FirstParagraph"/>
      </w:pPr>
      <w:r>
        <w:rPr>
          <w:b/>
        </w:rPr>
        <w:t xml:space="preserve">3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Bandraboua</w:t>
            </w:r>
          </w:p>
        </w:tc>
        <w:tc>
          <w:p>
            <w:pPr>
              <w:pStyle w:val="Compact"/>
              <w:jc w:val="left"/>
            </w:pPr>
            <w:r>
              <w:t xml:space="preserve">Quartier Prioritaire De Dzoumogné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Mamoudzou</w:t>
            </w:r>
          </w:p>
        </w:tc>
        <w:tc>
          <w:p>
            <w:pPr>
              <w:pStyle w:val="Compact"/>
              <w:jc w:val="left"/>
            </w:pPr>
            <w:r>
              <w:t xml:space="preserve">Quartier Prioritaire De Kawéni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Pamandzi / Dzaoudzi</w:t>
            </w:r>
          </w:p>
        </w:tc>
        <w:tc>
          <w:p>
            <w:pPr>
              <w:pStyle w:val="Compact"/>
              <w:jc w:val="left"/>
            </w:pPr>
            <w:r>
              <w:t xml:space="preserve">Quartier De La Vigie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2" w:name="moyens-financiers"/>
      <w:r>
        <w:t xml:space="preserve">Moyens financiers</w:t>
      </w:r>
      <w:bookmarkEnd w:id="32"/>
    </w:p>
    <w:p>
      <w:pPr>
        <w:pStyle w:val="Titre3"/>
      </w:pPr>
      <w:bookmarkStart w:id="33" w:name="programme-147-politique-de-la-ville"/>
      <w:r>
        <w:t xml:space="preserve">Programme 147 « Politique de la ville »</w:t>
      </w:r>
      <w:bookmarkEnd w:id="33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Mayotte en 2022 s’élève à</w:t>
      </w:r>
      <w:r>
        <w:t xml:space="preserve"> </w:t>
      </w:r>
      <w:r>
        <w:rPr>
          <w:b/>
        </w:rPr>
        <w:t xml:space="preserve">2.96M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728 117 €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85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12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3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4" w:name="dotation-politique-de-la-ville-dpv"/>
      <w:r>
        <w:t xml:space="preserve">Dotation politique de la ville (DPV)</w:t>
      </w:r>
      <w:bookmarkEnd w:id="34"/>
    </w:p>
    <w:p>
      <w:pPr>
        <w:pStyle w:val="FirstParagraph"/>
      </w:pPr>
      <w:r>
        <w:t xml:space="preserve">En 2021, sur le département de Mayotte,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5" w:name="Xd722fa3e5c289a1d4b7fa67f442494866d6f03e"/>
      <w:r>
        <w:t xml:space="preserve">Dotation de solidarité urbaine et de cohésion sociale (DSU)</w:t>
      </w:r>
      <w:bookmarkEnd w:id="3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</w:tbl>
    <w:p>
      <w:pPr>
        <w:pStyle w:val="Titre2"/>
      </w:pPr>
      <w:bookmarkStart w:id="36" w:name="X386cb4e07dc98e788ebbdc7ca71dcad767caa19"/>
      <w:r>
        <w:t xml:space="preserve">Perspectives de déploiement sur le département des projets retenus dans le cadre du programme « Tremplin Asso »</w:t>
      </w:r>
      <w:bookmarkEnd w:id="36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Mayotte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7" w:name="fabriques-de-territoire"/>
      <w:r>
        <w:t xml:space="preserve">Fabriques de territoire</w:t>
      </w:r>
      <w:bookmarkEnd w:id="37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9"/>
          <w:ilvl w:val="0"/>
        </w:numPr>
      </w:pPr>
      <w:r>
        <w:t xml:space="preserve">Mamoudzou (structure porteuse : « Fédération Départementale Ligue de l’Enseignement Mayotte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8" w:name="Xeb0ff1d4dae4b2da64df7b15f24e0713513d1ac"/>
      <w:r>
        <w:t xml:space="preserve">Centre de Ressource Politique de la Ville (CRPV)</w:t>
      </w:r>
      <w:bookmarkEnd w:id="38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2024-09-19T02:13:55Z</dcterms:created>
  <dcterms:modified xsi:type="dcterms:W3CDTF">2024-09-19T02:13:55Z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