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428fde341718f90a2107c6d32bdcf59295f358"/>
      <w:r>
        <w:t xml:space="preserve">FICHE TERRITOIRE – POLITIQUE DE LA VILLE : PARIS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20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paris"/>
      <w:r>
        <w:t xml:space="preserve">Le plan banlieue dans Paris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Aucune commune</w:t>
      </w:r>
      <w:r>
        <w:t xml:space="preserve"> </w:t>
      </w:r>
      <w:r>
        <w:t xml:space="preserve">n’est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Paris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Paris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1602 1602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20%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Parisiens avec le plan « 1 jeune, 1 solution ». Plus de 30.000 jeunes parisiens ont bénéficié du « plan jeunes » en 2020 dont :</w:t>
      </w:r>
    </w:p>
    <w:p>
      <w:pPr>
        <w:numPr>
          <w:numId w:val="1005"/>
          <w:ilvl w:val="0"/>
        </w:numPr>
      </w:pPr>
      <w:r>
        <w:t xml:space="preserve">10 466 primes à l’embauche financées par France Relance,</w:t>
      </w:r>
    </w:p>
    <w:p>
      <w:pPr>
        <w:numPr>
          <w:numId w:val="1005"/>
          <w:ilvl w:val="0"/>
        </w:numPr>
      </w:pPr>
      <w:r>
        <w:t xml:space="preserve">4 541 contrats d’apprentissage aidés par France Relance.</w:t>
      </w:r>
    </w:p>
    <w:p>
      <w:pPr>
        <w:pStyle w:val="FirstParagraph"/>
      </w:pPr>
      <w:r>
        <w:t xml:space="preserve">France Relance c’est l’Etat aux côtés de la Ville de Paris dans ses projets d’investissement local : 5,9 millions d’euros de dotation à l’investissement local ont été accordés en 2020 pour réaliser 7,6 millions d’euros d’investissements publics.</w:t>
      </w:r>
    </w:p>
    <w:p>
      <w:pPr>
        <w:pStyle w:val="Compact"/>
        <w:numPr>
          <w:numId w:val="1006"/>
          <w:ilvl w:val="0"/>
        </w:numPr>
      </w:pPr>
      <w:r>
        <w:t xml:space="preserve">26 écoles réparties dans 14 arrondissements parisiens bénéficieront du déploiement de cours de récréation de type « Oasis » afin de lutter contre les îlots de chaleur.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4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Paris 14</w:t>
            </w:r>
          </w:p>
        </w:tc>
        <w:tc>
          <w:p>
            <w:pPr>
              <w:pStyle w:val="Compact"/>
              <w:jc w:val="left"/>
            </w:pPr>
            <w:r>
              <w:t xml:space="preserve">Didot - Porte de Vanves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Paris 18</w:t>
            </w:r>
          </w:p>
        </w:tc>
        <w:tc>
          <w:p>
            <w:pPr>
              <w:pStyle w:val="Compact"/>
              <w:jc w:val="left"/>
            </w:pPr>
            <w:r>
              <w:t xml:space="preserve">Porte Montmartre - Porte Des Poissonniers - Moskova / La Chapelle - Evangile / Goutte D’Or / Porte De La Chapelle - Charles Hermite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Paris 19</w:t>
            </w:r>
          </w:p>
        </w:tc>
        <w:tc>
          <w:p>
            <w:pPr>
              <w:pStyle w:val="Compact"/>
              <w:jc w:val="left"/>
            </w:pPr>
            <w:r>
              <w:t xml:space="preserve">Stalingrad Riquet / Michelet - Alphonse Karr - Rue de Nantes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Paris 20</w:t>
            </w:r>
          </w:p>
        </w:tc>
        <w:tc>
          <w:p>
            <w:pPr>
              <w:pStyle w:val="Compact"/>
              <w:jc w:val="left"/>
            </w:pPr>
            <w:r>
              <w:t xml:space="preserve">Les Portes Du Vingtième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Paris en 2022 s’élève à</w:t>
      </w:r>
      <w:r>
        <w:t xml:space="preserve"> </w:t>
      </w:r>
      <w:r>
        <w:rPr>
          <w:b/>
        </w:rPr>
        <w:t xml:space="preserve">3.77M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741 992 €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235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68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7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Paris,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Paris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7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Afev - Association de la Fondation Etudiante pour la Ville »)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Association pour la Gestion d’Espaces Temporaires Artistiques (AGETA) / collectif Curry Vavart »)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Collectif Jardin de Traverse,</w:t>
      </w:r>
      <w:r>
        <w:t xml:space="preserve"> </w:t>
      </w:r>
      <w:r>
        <w:t xml:space="preserve">représenté par Vergers Urbains »)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Collectif MU »)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D2L / Collectif Rue de la solidarite »)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La Sierra Prod »)</w:t>
      </w:r>
    </w:p>
    <w:p>
      <w:pPr>
        <w:pStyle w:val="Compact"/>
        <w:numPr>
          <w:numId w:val="1008"/>
          <w:ilvl w:val="0"/>
        </w:numPr>
      </w:pPr>
      <w:r>
        <w:t xml:space="preserve">Paris (structure porteuse : « Salle Saint Bruno - SSB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2024-09-19T02:13:10Z</dcterms:created>
  <dcterms:modified xsi:type="dcterms:W3CDTF">2024-09-19T02:13:10Z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