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a058b9cf0fc894a535ca3fafa084ed8397071ba"/>
      <w:r>
        <w:t xml:space="preserve">FICHE TERRITOIRE – POLITIQUE DE LA VILLE : HAUT-RHIN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haut-rhin"/>
      <w:r>
        <w:t xml:space="preserve">Le plan banlieue dans le Haut-Rhin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Colmar et Guebwiller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du Haut-Rhin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Quartier Les Coteaux</w:t>
            </w:r>
          </w:p>
        </w:tc>
        <w:tc>
          <w:p>
            <w:pPr>
              <w:pStyle w:val="Compact"/>
              <w:jc w:val="right"/>
            </w:pPr>
            <w:r>
              <w:t xml:space="preserve">49 960 €</w:t>
            </w:r>
          </w:p>
        </w:tc>
        <w:tc>
          <w:p>
            <w:pPr>
              <w:pStyle w:val="Compact"/>
              <w:jc w:val="right"/>
            </w:pPr>
            <w:r>
              <w:t xml:space="preserve">120 000 €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Haut-Rhin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930 930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haut-rhinois avec le plan « 1 jeune, 1 solution » : plus de 5 300 jeunes en ont ainsi bénéficié dans le département dont :</w:t>
      </w:r>
    </w:p>
    <w:p>
      <w:pPr>
        <w:numPr>
          <w:numId w:val="1006"/>
          <w:ilvl w:val="0"/>
        </w:numPr>
      </w:pPr>
      <w:r>
        <w:t xml:space="preserve">1 760 primes à l’embauche financées par France Relance</w:t>
      </w:r>
    </w:p>
    <w:p>
      <w:pPr>
        <w:numPr>
          <w:numId w:val="1006"/>
          <w:ilvl w:val="0"/>
        </w:numPr>
      </w:pPr>
      <w:r>
        <w:t xml:space="preserve">3 563 contrats d’apprentissage aidés par France Relance.</w:t>
      </w:r>
    </w:p>
    <w:p>
      <w:pPr>
        <w:pStyle w:val="FirstParagraph"/>
      </w:pPr>
      <w:r>
        <w:t xml:space="preserve">France Relance, c’est l’État aux côtés des communes haut-rhinoises dans leurs projets d’investissement local : 32 communes et établissements publics de coopération intercommunale ont bénéficié de 3,8 millions d’euros de dotation à l’investissement local pour réaliser 12 millions d’euros d’investissements publics et notamment :</w:t>
      </w:r>
    </w:p>
    <w:p>
      <w:pPr>
        <w:numPr>
          <w:numId w:val="1007"/>
          <w:ilvl w:val="0"/>
        </w:numPr>
      </w:pPr>
      <w:r>
        <w:t xml:space="preserve">La commune de Mulhouse pour la dépollution de l’ancien site du service « propreté urbaine et parc auto » (sub-vention de 510 000 euros)</w:t>
      </w:r>
    </w:p>
    <w:p>
      <w:pPr>
        <w:numPr>
          <w:numId w:val="1007"/>
          <w:ilvl w:val="0"/>
        </w:numPr>
      </w:pPr>
      <w:r>
        <w:t xml:space="preserve">La communauté de communes Sud Alsace Largue pour l’installation de panneaux photovoltaïques à Retzwiller (subvention de 36 000 euros)</w:t>
      </w:r>
    </w:p>
    <w:p>
      <w:pPr>
        <w:numPr>
          <w:numId w:val="1007"/>
          <w:ilvl w:val="0"/>
        </w:numPr>
      </w:pPr>
      <w:r>
        <w:t xml:space="preserve">La communauté de communes de la vallée de Munster pour la création d’une voie verte et la réfection de pas-serelles d’accès (subvention de 60 000 euros).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Colmar</w:t>
            </w:r>
          </w:p>
        </w:tc>
        <w:tc>
          <w:p>
            <w:pPr>
              <w:pStyle w:val="Compact"/>
              <w:jc w:val="left"/>
            </w:pPr>
            <w:r>
              <w:t xml:space="preserve">Europe - Schweitzer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Mulhouse Bourtzwiller</w:t>
            </w:r>
          </w:p>
        </w:tc>
        <w:tc>
          <w:p>
            <w:pPr>
              <w:pStyle w:val="Compact"/>
              <w:jc w:val="left"/>
            </w:pPr>
            <w:r>
              <w:t xml:space="preserve">Quartier De Bourtzwiller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Mulhouse Les Coteaux</w:t>
            </w:r>
          </w:p>
        </w:tc>
        <w:tc>
          <w:p>
            <w:pPr>
              <w:pStyle w:val="Compact"/>
              <w:jc w:val="left"/>
            </w:pPr>
            <w:r>
              <w:t xml:space="preserve">Quartier Les Coteaux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Haut-Rhin en 2022 s’élève à</w:t>
      </w:r>
      <w:r>
        <w:t xml:space="preserve"> </w:t>
      </w:r>
      <w:r>
        <w:rPr>
          <w:b/>
        </w:rPr>
        <w:t xml:space="preserve">2.80M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352 560 €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54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21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Haut-Rhin,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Cernay</w:t>
            </w:r>
          </w:p>
        </w:tc>
        <w:tc>
          <w:p>
            <w:pPr>
              <w:pStyle w:val="Compact"/>
              <w:jc w:val="right"/>
            </w:pPr>
            <w:r>
              <w:t xml:space="preserve">161 320 €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Colmar</w:t>
            </w:r>
          </w:p>
        </w:tc>
        <w:tc>
          <w:p>
            <w:pPr>
              <w:pStyle w:val="Compact"/>
              <w:jc w:val="right"/>
            </w:pPr>
            <w:r>
              <w:t xml:space="preserve">3 627 957 €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Guebwiller</w:t>
            </w:r>
          </w:p>
        </w:tc>
        <w:tc>
          <w:p>
            <w:pPr>
              <w:pStyle w:val="Compact"/>
              <w:jc w:val="right"/>
            </w:pPr>
            <w:r>
              <w:t xml:space="preserve">1 031 366 €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Illzach</w:t>
            </w:r>
          </w:p>
        </w:tc>
        <w:tc>
          <w:p>
            <w:pPr>
              <w:pStyle w:val="Compact"/>
              <w:jc w:val="right"/>
            </w:pPr>
            <w:r>
              <w:t xml:space="preserve">325 235 €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Kingersheim</w:t>
            </w:r>
          </w:p>
        </w:tc>
        <w:tc>
          <w:p>
            <w:pPr>
              <w:pStyle w:val="Compact"/>
              <w:jc w:val="right"/>
            </w:pPr>
            <w:r>
              <w:t xml:space="preserve">132 060 €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Mulhouse</w:t>
            </w:r>
          </w:p>
        </w:tc>
        <w:tc>
          <w:p>
            <w:pPr>
              <w:pStyle w:val="Compact"/>
              <w:jc w:val="right"/>
            </w:pPr>
            <w:r>
              <w:t xml:space="preserve">26 467 454 €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Saint-Louis</w:t>
            </w:r>
          </w:p>
        </w:tc>
        <w:tc>
          <w:p>
            <w:pPr>
              <w:pStyle w:val="Compact"/>
              <w:jc w:val="right"/>
            </w:pPr>
            <w:r>
              <w:t xml:space="preserve">314 309 €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Sainte-Marie-aux-Mines</w:t>
            </w:r>
          </w:p>
        </w:tc>
        <w:tc>
          <w:p>
            <w:pPr>
              <w:pStyle w:val="Compact"/>
              <w:jc w:val="right"/>
            </w:pPr>
            <w:r>
              <w:t xml:space="preserve">88 639 €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Wittelsheim</w:t>
            </w:r>
          </w:p>
        </w:tc>
        <w:tc>
          <w:p>
            <w:pPr>
              <w:pStyle w:val="Compact"/>
              <w:jc w:val="right"/>
            </w:pPr>
            <w:r>
              <w:t xml:space="preserve">665 344 €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Wittenheim</w:t>
            </w:r>
          </w:p>
        </w:tc>
        <w:tc>
          <w:p>
            <w:pPr>
              <w:pStyle w:val="Compact"/>
              <w:jc w:val="right"/>
            </w:pPr>
            <w:r>
              <w:t xml:space="preserve">657 636 €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Haut-Rhin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9"/>
          <w:ilvl w:val="0"/>
        </w:numPr>
      </w:pPr>
      <w:r>
        <w:t xml:space="preserve">Mulhouse (structure porteuse : « Tubà Mulhouse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2024-09-19T02:12:59Z</dcterms:created>
  <dcterms:modified xsi:type="dcterms:W3CDTF">2024-09-19T02:12:59Z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