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38ce1fe8db519e4a2190e437695ed06860f3c57"/>
      <w:r>
        <w:t xml:space="preserve">FICHE TERRITOIRE – POLITIQUE DE LA VILLE : GERS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gers"/>
      <w:r>
        <w:t xml:space="preserve">Le plan banlieue dans le Gers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Auch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Gers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Gers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17 17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18%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gersois avec le plan « 1 jeune, 1 solution » : plus de 1 419 jeunes gersois ont bénéficié du « plan jeunes » en 2020 (136 pour 2021, soit 1 555 pour 2020-2021) : Au titre du volet visant à faciliter leur entrée dans la vie professionnelle : - 216 primes à l’embauche ont été financées - 703 contrats d’apprentissage ont été aidés. Au titre du volet visant à les accompagner dans leur parcours vers l’emploi : - 790 parcours contractualisés d’accompagnement vers l’emploi et l’autonomie ont été engagés - 337 garanties jeunes ont été mobilisées - 248 accompagnements intensifs des jeunes ont été prescrits.</w:t>
      </w:r>
    </w:p>
    <w:p>
      <w:pPr>
        <w:pStyle w:val="Corpsdetexte"/>
      </w:pPr>
      <w:r>
        <w:t xml:space="preserve">France Relance, c’est l’Etat aux côtés des collectivités gersoises dans leurs projets d’investissement local. 30 porteurs de projets gersois ont bénéficié de 5,4 millions d’euros de dotation à l’investissement local (DSIL) pour 16 millions d’euros d’investissements publics dans le territoire dont : - La commune de Gimont, accompagnée pour la création d’un tiers-lieu : Tiertium Locum - La commune de La Romieu, accompagnée pour la restauration de la collégiale - La commune d’Auch avec la construction de l’IFSSI, projet structurant porté par le Conseil Régional Occitanie - La commune de Castéra-Verduzan, qui va être accompagnée pour la réalisation d’un ascenseur.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Gers en 2022 s’élève à</w:t>
      </w:r>
      <w:r>
        <w:t xml:space="preserve"> </w:t>
      </w:r>
      <w:r>
        <w:rPr>
          <w:b/>
        </w:rPr>
        <w:t xml:space="preserve">102 000 €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5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Aucun poste de délégué du préfet</w:t>
      </w:r>
      <w:r>
        <w:t xml:space="preserve"> </w:t>
      </w:r>
      <w:r>
        <w:t xml:space="preserve">n’est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Gers,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Auch</w:t>
            </w:r>
          </w:p>
        </w:tc>
        <w:tc>
          <w:p>
            <w:pPr>
              <w:pStyle w:val="Compact"/>
              <w:jc w:val="right"/>
            </w:pPr>
            <w:r>
              <w:t xml:space="preserve">997 170 €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Gers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2024-09-19T02:11:57Z</dcterms:created>
  <dcterms:modified xsi:type="dcterms:W3CDTF">2024-09-19T02:11:57Z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