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836910d6388dd17ab35e5449cade97e052c2d5a"/>
      <w:r>
        <w:t xml:space="preserve">FICHE TERRITOIRE – POLITIQUE DE LA VILLE : HAUTE-GARONNE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rPr>
          <w:i/>
        </w:rPr>
        <w:t xml:space="preserve">La CA de Toulouse Métropole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ROOF (donner aux sans-abris des solutions de logement innovantes).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numPr>
          <w:numId w:val="1001"/>
          <w:ilvl w:val="0"/>
        </w:numPr>
      </w:pPr>
      <w:r>
        <w:rPr>
          <w:i/>
        </w:rPr>
        <w:t xml:space="preserve">La CA de Toulouse Métropole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URBAN-REGENERATION-MIX (favoriser la participation citoyenne collaborative dans le processus de rénovation urbaine).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le-plan-banlieue-dans-la-haute-garonne"/>
      <w:r>
        <w:t xml:space="preserve">Le plan banlieue dans la Haute-Garonne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Revel et Saint-Gaudens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 la Haute-Garonne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Grand Mirail, Izards</w:t>
            </w:r>
          </w:p>
        </w:tc>
        <w:tc>
          <w:p>
            <w:pPr>
              <w:pStyle w:val="Compact"/>
              <w:jc w:val="right"/>
            </w:pPr>
            <w:r>
              <w:t xml:space="preserve">92 000 €</w:t>
            </w:r>
          </w:p>
        </w:tc>
        <w:tc>
          <w:p>
            <w:pPr>
              <w:pStyle w:val="Compact"/>
              <w:jc w:val="right"/>
            </w:pPr>
            <w:r>
              <w:t xml:space="preserve">368 000 €</w:t>
            </w:r>
          </w:p>
        </w:tc>
        <w:tc>
          <w:p>
            <w:pPr>
              <w:pStyle w:val="Compact"/>
              <w:jc w:val="right"/>
            </w:pPr>
            <w:r>
              <w:t xml:space="preserve">8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Haute-Garonne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1426 1426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haut-garonnais avec le plan «1 jeune, 1 solution » : plus de 9 144 jeunes haut-garonnais en ont bénéficié en 2020 dont : - 1 726 primes à l’embauche financées par France Relance - 6 067 contrats d’apprentissage aidés par France Relance.</w:t>
      </w:r>
    </w:p>
    <w:p>
      <w:pPr>
        <w:pStyle w:val="Corpsdetexte"/>
      </w:pPr>
      <w:r>
        <w:t xml:space="preserve">France Relance c’est l’État aux côtés des collectivités territoriales haut-garonnaises dans leurs projets d’investissement local : 50 opérations ont bénéficié de 9,6 millions d’euros de dotation à l’investissement local (DSIL) pour réaliser 29 millions d’euros d’investissements publics et notamment : - La réhabilitation d’un bâtiment communal pour accueillir l’école de musique à Castelginest dont les travaux sont d’ores et déjà lancés - La participation à hauteur de 630 000 euros pour le développement des pistes cyclables de Toulouse Métropole et de la communauté d’agglomération du SICOVAL afin de favoriser les mobilités du quotidien - La modernisation de logements étudiants du CROUS pour améliorer les conditions d’accueil des étudiants - La construction d’un centre municipal de santé à Launac.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Colomiers</w:t>
            </w:r>
          </w:p>
        </w:tc>
        <w:tc>
          <w:p>
            <w:pPr>
              <w:pStyle w:val="Compact"/>
              <w:jc w:val="left"/>
            </w:pPr>
            <w:r>
              <w:t xml:space="preserve">Val D’Aran - Poitou - Pyrénées / En Jacca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Toulouse Grand Mirail</w:t>
            </w:r>
          </w:p>
        </w:tc>
        <w:tc>
          <w:p>
            <w:pPr>
              <w:pStyle w:val="Compact"/>
              <w:jc w:val="left"/>
            </w:pPr>
            <w:r>
              <w:t xml:space="preserve">Grand Mirail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Toulouse Les Izards</w:t>
            </w:r>
          </w:p>
        </w:tc>
        <w:tc>
          <w:p>
            <w:pPr>
              <w:pStyle w:val="Compact"/>
              <w:jc w:val="left"/>
            </w:pPr>
            <w:r>
              <w:t xml:space="preserve">Les Izards - La Vache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Haute-Garonne en 2022 s’élève à</w:t>
      </w:r>
      <w:r>
        <w:t xml:space="preserve"> </w:t>
      </w:r>
      <w:r>
        <w:rPr>
          <w:b/>
        </w:rPr>
        <w:t xml:space="preserve">2.80M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1.02M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348 067 €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97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Haute-Garonne,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Auterive</w:t>
            </w:r>
          </w:p>
        </w:tc>
        <w:tc>
          <w:p>
            <w:pPr>
              <w:pStyle w:val="Compact"/>
              <w:jc w:val="right"/>
            </w:pPr>
            <w:r>
              <w:t xml:space="preserve">515 243 €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Castanet-Tolosan</w:t>
            </w:r>
          </w:p>
        </w:tc>
        <w:tc>
          <w:p>
            <w:pPr>
              <w:pStyle w:val="Compact"/>
              <w:jc w:val="right"/>
            </w:pPr>
            <w:r>
              <w:t xml:space="preserve">426 480 €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Castelginest</w:t>
            </w:r>
          </w:p>
        </w:tc>
        <w:tc>
          <w:p>
            <w:pPr>
              <w:pStyle w:val="Compact"/>
              <w:jc w:val="right"/>
            </w:pPr>
            <w:r>
              <w:t xml:space="preserve">123 473 €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Colomiers</w:t>
            </w:r>
          </w:p>
        </w:tc>
        <w:tc>
          <w:p>
            <w:pPr>
              <w:pStyle w:val="Compact"/>
              <w:jc w:val="right"/>
            </w:pPr>
            <w:r>
              <w:t xml:space="preserve">667 559 €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Cugnaux</w:t>
            </w:r>
          </w:p>
        </w:tc>
        <w:tc>
          <w:p>
            <w:pPr>
              <w:pStyle w:val="Compact"/>
              <w:jc w:val="right"/>
            </w:pPr>
            <w:r>
              <w:t xml:space="preserve">515 889 €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Fonsorbes</w:t>
            </w:r>
          </w:p>
        </w:tc>
        <w:tc>
          <w:p>
            <w:pPr>
              <w:pStyle w:val="Compact"/>
              <w:jc w:val="right"/>
            </w:pPr>
            <w:r>
              <w:t xml:space="preserve">1 884 961 €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Muret</w:t>
            </w:r>
          </w:p>
        </w:tc>
        <w:tc>
          <w:p>
            <w:pPr>
              <w:pStyle w:val="Compact"/>
              <w:jc w:val="right"/>
            </w:pPr>
            <w:r>
              <w:t xml:space="preserve">1 389 673 €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Plaisance-du-Touch</w:t>
            </w:r>
          </w:p>
        </w:tc>
        <w:tc>
          <w:p>
            <w:pPr>
              <w:pStyle w:val="Compact"/>
              <w:jc w:val="right"/>
            </w:pPr>
            <w:r>
              <w:t xml:space="preserve">744 821 €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Ramonville-Saint-Agne</w:t>
            </w:r>
          </w:p>
        </w:tc>
        <w:tc>
          <w:p>
            <w:pPr>
              <w:pStyle w:val="Compact"/>
              <w:jc w:val="right"/>
            </w:pPr>
            <w:r>
              <w:t xml:space="preserve">219 177 €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Revel</w:t>
            </w:r>
          </w:p>
        </w:tc>
        <w:tc>
          <w:p>
            <w:pPr>
              <w:pStyle w:val="Compact"/>
              <w:jc w:val="right"/>
            </w:pPr>
            <w:r>
              <w:t xml:space="preserve">205 261 €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Saint-Gaudens</w:t>
            </w:r>
          </w:p>
        </w:tc>
        <w:tc>
          <w:p>
            <w:pPr>
              <w:pStyle w:val="Compact"/>
              <w:jc w:val="right"/>
            </w:pPr>
            <w:r>
              <w:t xml:space="preserve">210 880 €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Toulouse</w:t>
            </w:r>
          </w:p>
        </w:tc>
        <w:tc>
          <w:p>
            <w:pPr>
              <w:pStyle w:val="Compact"/>
              <w:jc w:val="right"/>
            </w:pPr>
            <w:r>
              <w:t xml:space="preserve">11 270 431 €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Villeneuve-Tolosane</w:t>
            </w:r>
          </w:p>
        </w:tc>
        <w:tc>
          <w:p>
            <w:pPr>
              <w:pStyle w:val="Compact"/>
              <w:jc w:val="right"/>
            </w:pPr>
            <w:r>
              <w:t xml:space="preserve">111 357 €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Haute-Garonne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Saint-Gaudens (structure porteuse : « Maison de l’Avenir Comminges-Pyrénées »)</w:t>
      </w:r>
    </w:p>
    <w:p>
      <w:pPr>
        <w:pStyle w:val="Compact"/>
        <w:numPr>
          <w:numId w:val="1007"/>
          <w:ilvl w:val="0"/>
        </w:numPr>
      </w:pPr>
      <w:r>
        <w:t xml:space="preserve">Toulouse (structure porteuse : « SCIC IF, LES IMAGINATIONS FERTILES ET TOULOUSE MÉTROPOLE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2024-09-19T02:11:55Z</dcterms:created>
  <dcterms:modified xsi:type="dcterms:W3CDTF">2024-09-19T02:11:55Z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