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fa2e642324ec0075cd1788d5483ce23344fcebf"/>
      <w:r>
        <w:t xml:space="preserve">FICHE TERRITOIRE – POLITIQUE DE LA VILLE : CÔTE-D’OR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6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côte-dor"/>
      <w:r>
        <w:t xml:space="preserve">Le plan banlieue dans la Côte-d’Or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Aucune commune</w:t>
      </w:r>
      <w:r>
        <w:t xml:space="preserve"> </w:t>
      </w:r>
      <w:r>
        <w:t xml:space="preserve">n’est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2 quartiers</w:t>
      </w:r>
      <w:r>
        <w:t xml:space="preserve"> </w:t>
      </w:r>
      <w:r>
        <w:t xml:space="preserve">sur le département de la Côte-d’Or sont identifiés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Grésilles</w:t>
            </w:r>
          </w:p>
        </w:tc>
        <w:tc>
          <w:p>
            <w:pPr>
              <w:pStyle w:val="Compact"/>
              <w:jc w:val="right"/>
            </w:pPr>
            <w:r>
              <w:t xml:space="preserve">72 000 €</w:t>
            </w:r>
          </w:p>
        </w:tc>
        <w:tc>
          <w:p>
            <w:pPr>
              <w:pStyle w:val="Compact"/>
              <w:jc w:val="right"/>
            </w:pPr>
            <w:r>
              <w:t xml:space="preserve">240 000 €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Le Mail</w:t>
            </w:r>
          </w:p>
        </w:tc>
        <w:tc>
          <w:p>
            <w:pPr>
              <w:pStyle w:val="Compact"/>
              <w:jc w:val="right"/>
            </w:pPr>
            <w:r>
              <w:t xml:space="preserve">84 896 €</w:t>
            </w:r>
          </w:p>
        </w:tc>
        <w:tc>
          <w:p>
            <w:pPr>
              <w:pStyle w:val="Compact"/>
              <w:jc w:val="right"/>
            </w:pPr>
            <w:r>
              <w:t xml:space="preserve">218 268 €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Côte-d’Or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295 295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79%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46%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23%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avec le plan « 1 jeune, 1 solution » : il n’y a pas de génération sacrifiée en Côte d’or comme partout en France. Près de 3 400 jeunes ont bénéficié du « plan jeunes » en 2020 :</w:t>
      </w:r>
    </w:p>
    <w:p>
      <w:pPr>
        <w:numPr>
          <w:numId w:val="1006"/>
          <w:ilvl w:val="0"/>
        </w:numPr>
      </w:pPr>
      <w:r>
        <w:t xml:space="preserve">Dont 1 826 primes à l’embauche financées par France Relance - Dont 1 336 contrats d’apprentissage aidés par France Relance - Avec 117 Parcours emplois compétences (PEC), 11 contrats initiatives emploi (CIE) signés, ainsi que 96 emplois francs</w:t>
      </w:r>
    </w:p>
    <w:p>
      <w:pPr>
        <w:numPr>
          <w:numId w:val="1006"/>
          <w:ilvl w:val="0"/>
        </w:numPr>
      </w:pPr>
      <w:r>
        <w:t xml:space="preserve">En 2020, 35 communes ont bénéficié de 5,6 millions d’euros de dotation à l’investissement local exceptionnelle dans le cadre du plan de relance, pour réaliser près de 21 millions d’euros d’investissements publics, dont no-tamment :</w:t>
      </w:r>
    </w:p>
    <w:p>
      <w:pPr>
        <w:numPr>
          <w:numId w:val="1006"/>
          <w:ilvl w:val="0"/>
        </w:numPr>
      </w:pPr>
      <w:r>
        <w:t xml:space="preserve">La rénovation de la médiathèque d’Auxonne</w:t>
      </w:r>
    </w:p>
    <w:p>
      <w:pPr>
        <w:numPr>
          <w:numId w:val="1006"/>
          <w:ilvl w:val="0"/>
        </w:numPr>
      </w:pPr>
      <w:r>
        <w:t xml:space="preserve">La construction d’une maison de santé à Thorey-en-plaine</w:t>
      </w:r>
    </w:p>
    <w:p>
      <w:pPr>
        <w:numPr>
          <w:numId w:val="1006"/>
          <w:ilvl w:val="0"/>
        </w:numPr>
      </w:pPr>
      <w:r>
        <w:t xml:space="preserve">En 2021, les communes et les établissements publics de coopération intercommunale (EPCI) du département vont être aidées à hauteur de 5,6 millions d’euros pour leurs projets de rénovation thermique des bâtiments (comme des écoles par exemple). - Les agences de l’eau vont intervenir en Côte d’or dans le cadre du plan de relance en 2021-2022 pour moderni-ser les infrastructures d’eau et d’assainissement des communes. Près de 9,3 millions d’euros y seront consacrés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Chenôve</w:t>
            </w:r>
          </w:p>
        </w:tc>
        <w:tc>
          <w:p>
            <w:pPr>
              <w:pStyle w:val="Compact"/>
              <w:jc w:val="left"/>
            </w:pPr>
            <w:r>
              <w:t xml:space="preserve">Le Mail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Dijon</w:t>
            </w:r>
          </w:p>
        </w:tc>
        <w:tc>
          <w:p>
            <w:pPr>
              <w:pStyle w:val="Compact"/>
              <w:jc w:val="left"/>
            </w:pPr>
            <w:r>
              <w:t xml:space="preserve">Fontaine D’Ouche / Les Grésilles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Côte-d’Or en 2022 s’élève à</w:t>
      </w:r>
      <w:r>
        <w:t xml:space="preserve"> </w:t>
      </w:r>
      <w:r>
        <w:rPr>
          <w:b/>
        </w:rPr>
        <w:t xml:space="preserve">900 000 €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230 000 €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112 168 €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21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11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2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Côte-d’Or,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Beaune</w:t>
            </w:r>
          </w:p>
        </w:tc>
        <w:tc>
          <w:p>
            <w:pPr>
              <w:pStyle w:val="Compact"/>
              <w:jc w:val="right"/>
            </w:pPr>
            <w:r>
              <w:t xml:space="preserve">183 120 €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Chenôve</w:t>
            </w:r>
          </w:p>
        </w:tc>
        <w:tc>
          <w:p>
            <w:pPr>
              <w:pStyle w:val="Compact"/>
              <w:jc w:val="right"/>
            </w:pPr>
            <w:r>
              <w:t xml:space="preserve">4 345 123 €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Chevigny-Saint-Sauveur</w:t>
            </w:r>
          </w:p>
        </w:tc>
        <w:tc>
          <w:p>
            <w:pPr>
              <w:pStyle w:val="Compact"/>
              <w:jc w:val="right"/>
            </w:pPr>
            <w:r>
              <w:t xml:space="preserve">196 239 €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Dijon</w:t>
            </w:r>
          </w:p>
        </w:tc>
        <w:tc>
          <w:p>
            <w:pPr>
              <w:pStyle w:val="Compact"/>
              <w:jc w:val="right"/>
            </w:pPr>
            <w:r>
              <w:t xml:space="preserve">3 462 826 €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Talant</w:t>
            </w:r>
          </w:p>
        </w:tc>
        <w:tc>
          <w:p>
            <w:pPr>
              <w:pStyle w:val="Compact"/>
              <w:jc w:val="right"/>
            </w:pPr>
            <w:r>
              <w:t xml:space="preserve">665 921 €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Côte-d’Or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8"/>
          <w:ilvl w:val="0"/>
        </w:numPr>
      </w:pPr>
      <w:r>
        <w:t xml:space="preserve">Dijon (structure porteuse : « Centre Multimédia - PEP cbfc »)</w:t>
      </w:r>
    </w:p>
    <w:p>
      <w:pPr>
        <w:pStyle w:val="Compact"/>
        <w:numPr>
          <w:numId w:val="1008"/>
          <w:ilvl w:val="0"/>
        </w:numPr>
      </w:pPr>
      <w:r>
        <w:t xml:space="preserve">Dijon (structure porteuse : « La Coursive Boutaric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(Centre Multimédia - PEP cbfc)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2024-09-19T02:11:38Z</dcterms:created>
  <dcterms:modified xsi:type="dcterms:W3CDTF">2024-09-19T02:11:38Z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