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8f0437c5419f1dc72c61910bf94ed0a3a8ebfcd"/>
      <w:r>
        <w:t xml:space="preserve">FICHE TERRITOIRE – POLITIQUE DE LA VILLE : AUDE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10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aude"/>
      <w:r>
        <w:t xml:space="preserve">Le plan banlieue dans l’ Aude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Carcassonne et Narbonne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l’Aude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l’Aude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305 305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73%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Audois avec le plan « 1 jeune, 1 solution » : près de 4 000 jeunes du département ont bénéficié du « plan jeunes » en 2020 dont : - 1 022 primes à l’embauche financées par France Relance - 1 405 contrats d’apprentissage aidés par France Relance</w:t>
      </w:r>
    </w:p>
    <w:p>
      <w:pPr>
        <w:pStyle w:val="Corpsdetexte"/>
      </w:pPr>
      <w:r>
        <w:t xml:space="preserve">France Relance c’est l’Etat aux côtés des communes audoises dans leurs projets d’investissement local : 42 collectivités ont bénéficié de 9,5 millions d’euros de dotation à l’investissement local (DSIL) notamment pour financer 54 projets : - L’aménagement de la place Carnot à Carcassonne ou des places du centre ancien de Narbonne - L’aménagement d’une voie verte de Montségur (Ariège) à Bram - La construction ou la rénovation d’infrastructures de gestion de la ressource en eau (réservoir d’eau potable à Lézignan-Corbières, réseaux d’eau de Villegaihenc) - La réalisation de travaux d’accessibilité (Maison France Services de Sigean).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Lézignan-Corbières</w:t>
            </w:r>
          </w:p>
        </w:tc>
        <w:tc>
          <w:p>
            <w:pPr>
              <w:pStyle w:val="Compact"/>
              <w:jc w:val="left"/>
            </w:pPr>
            <w:r>
              <w:t xml:space="preserve">Centre Ville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l’Aude en 2022 s’élève à</w:t>
      </w:r>
      <w:r>
        <w:t xml:space="preserve"> </w:t>
      </w:r>
      <w:r>
        <w:rPr>
          <w:b/>
        </w:rPr>
        <w:t xml:space="preserve">1.08M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128 086 €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41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7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l’Aude,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Carcassonne</w:t>
            </w:r>
          </w:p>
        </w:tc>
        <w:tc>
          <w:p>
            <w:pPr>
              <w:pStyle w:val="Compact"/>
              <w:jc w:val="right"/>
            </w:pPr>
            <w:r>
              <w:t xml:space="preserve">5 084 842 €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Castelnaudary</w:t>
            </w:r>
          </w:p>
        </w:tc>
        <w:tc>
          <w:p>
            <w:pPr>
              <w:pStyle w:val="Compact"/>
              <w:jc w:val="right"/>
            </w:pPr>
            <w:r>
              <w:t xml:space="preserve">542 615 €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Fleury</w:t>
            </w:r>
          </w:p>
        </w:tc>
        <w:tc>
          <w:p>
            <w:pPr>
              <w:pStyle w:val="Compact"/>
              <w:jc w:val="right"/>
            </w:pPr>
            <w:r>
              <w:t xml:space="preserve">200 954 €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Limoux</w:t>
            </w:r>
          </w:p>
        </w:tc>
        <w:tc>
          <w:p>
            <w:pPr>
              <w:pStyle w:val="Compact"/>
              <w:jc w:val="right"/>
            </w:pPr>
            <w:r>
              <w:t xml:space="preserve">931 588 €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Lézignan-Corbières</w:t>
            </w:r>
          </w:p>
        </w:tc>
        <w:tc>
          <w:p>
            <w:pPr>
              <w:pStyle w:val="Compact"/>
              <w:jc w:val="right"/>
            </w:pPr>
            <w:r>
              <w:t xml:space="preserve">1 757 085 €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Narbonne</w:t>
            </w:r>
          </w:p>
        </w:tc>
        <w:tc>
          <w:p>
            <w:pPr>
              <w:pStyle w:val="Compact"/>
              <w:jc w:val="right"/>
            </w:pPr>
            <w:r>
              <w:t xml:space="preserve">5 646 022 €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l’Aude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6"/>
          <w:ilvl w:val="0"/>
        </w:numPr>
      </w:pPr>
      <w:r>
        <w:t xml:space="preserve">Limoux (structure porteuse : « SAPIE »)</w:t>
      </w:r>
    </w:p>
    <w:p>
      <w:pPr>
        <w:pStyle w:val="Compact"/>
        <w:numPr>
          <w:numId w:val="1006"/>
          <w:ilvl w:val="0"/>
        </w:numPr>
      </w:pPr>
      <w:r>
        <w:t xml:space="preserve">Narbonne (structure porteuse : « Le Grand Narbonne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2024-09-19T02:11:19Z</dcterms:created>
  <dcterms:modified xsi:type="dcterms:W3CDTF">2024-09-19T02:11:19Z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