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r>
        <w:t xml:space="preserve"> </w:t>
      </w:r>
      <w:r>
        <w:t xml:space="preserve">Veuillez favoriser cette interface plutôt que les fiches au format word qui ne sont plus maintenues et seront supprimées dans quelques mois.</w:t>
      </w:r>
    </w:p>
    <w:p>
      <w:pPr>
        <w:pStyle w:val="Titre1"/>
      </w:pPr>
      <w:bookmarkStart w:id="20" w:name="numérique-provence-alpes-côte-dazur"/>
      <w:r>
        <w:t xml:space="preserve">Numérique « Provence-Alpes-Côte d’Azur »</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Provence-Alpes-Côte d’Azur, 337 sites ont été identifiés,</w:t>
      </w:r>
      <w:r>
        <w:t xml:space="preserve"> </w:t>
      </w:r>
      <w:r>
        <w:t xml:space="preserve">parmi lesquels 163 ont d’ores et déjà été mis en service.</w:t>
      </w:r>
    </w:p>
    <w:p>
      <w:pPr>
        <w:pStyle w:val="Corpsdetexte"/>
      </w:pPr>
      <w:r>
        <w:t xml:space="preserve">Dans le cadre du dispositif 4G fixe, dans la région Provence-Alpes-Côte d’Azur,</w:t>
      </w:r>
      <w:r>
        <w:t xml:space="preserve"> </w:t>
      </w:r>
      <w:r>
        <w:t xml:space="preserve">27 sites ont été identifiés,</w:t>
      </w:r>
      <w:r>
        <w:t xml:space="preserve"> </w:t>
      </w:r>
      <w:r>
        <w:t xml:space="preserve">et 9 ont déjà été mis en service.</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la région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de la région à horizon 2022.</w:t>
      </w:r>
    </w:p>
    <w:p>
      <w:pPr>
        <w:pStyle w:val="Corpsdetexte"/>
      </w:pPr>
      <w:r>
        <w:t xml:space="preserve">Le déploiement de la fibre optique jusqu’à l’abonné (FttH) sur le territoire</w:t>
      </w:r>
      <w:r>
        <w:t xml:space="preserve"> </w:t>
      </w:r>
      <w:r>
        <w:t xml:space="preserve">est, quant à lui, assuré par 4 initiatives complémentaires :</w:t>
      </w:r>
    </w:p>
    <w:p>
      <w:pPr>
        <w:pStyle w:val="Compact"/>
        <w:numPr>
          <w:numId w:val="1001"/>
          <w:ilvl w:val="0"/>
        </w:numPr>
      </w:pPr>
      <w:r>
        <w:t xml:space="preserve">L’initiative privée des opérateurs dans la zone très dense, qui comprend 6 communes ;</w:t>
      </w:r>
    </w:p>
    <w:p>
      <w:pPr>
        <w:pStyle w:val="Compact"/>
        <w:numPr>
          <w:numId w:val="1001"/>
          <w:ilvl w:val="0"/>
        </w:numPr>
      </w:pPr>
      <w:r>
        <w:t xml:space="preserve">celle de XP Fibre sur 372 communes ;</w:t>
      </w:r>
    </w:p>
    <w:p>
      <w:pPr>
        <w:pStyle w:val="Compact"/>
        <w:numPr>
          <w:numId w:val="1001"/>
          <w:ilvl w:val="0"/>
        </w:numPr>
      </w:pPr>
      <w:r>
        <w:t xml:space="preserve">celle de Orange, Orange / XP Fibre et XP Fibre sur 244 communes ;</w:t>
      </w:r>
    </w:p>
    <w:p>
      <w:pPr>
        <w:pStyle w:val="Compact"/>
        <w:numPr>
          <w:numId w:val="1001"/>
          <w:ilvl w:val="0"/>
        </w:numPr>
      </w:pPr>
      <w:r>
        <w:t xml:space="preserve">celle de CD Vaucluse, SICTIAM et SUD THD - Var dans la zone d’initiative publique qui comprend 324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Très Dense</w:t>
            </w:r>
          </w:p>
        </w:tc>
        <w:tc>
          <w:p>
            <w:pPr>
              <w:pStyle w:val="Compact"/>
              <w:jc w:val="left"/>
            </w:pPr>
            <w:r>
              <w:t xml:space="preserve">1 104 551</w:t>
            </w:r>
            <w:r>
              <w:t xml:space="preserve"> </w:t>
            </w:r>
            <w:r>
              <w:rPr>
                <w:i/>
              </w:rPr>
              <w:t xml:space="preserve">30.0%</w:t>
            </w:r>
          </w:p>
        </w:tc>
        <w:tc>
          <w:p>
            <w:pPr>
              <w:pStyle w:val="Compact"/>
              <w:jc w:val="left"/>
            </w:pPr>
            <w:r>
              <w:t xml:space="preserve">969 596</w:t>
            </w:r>
            <w:r>
              <w:t xml:space="preserve"> </w:t>
            </w:r>
            <w:r>
              <w:rPr>
                <w:i/>
              </w:rPr>
              <w:t xml:space="preserve">88.0%</w:t>
            </w:r>
          </w:p>
        </w:tc>
      </w:tr>
      <w:tr>
        <w:tc>
          <w:p>
            <w:pPr>
              <w:pStyle w:val="Compact"/>
              <w:jc w:val="left"/>
            </w:pPr>
            <w:r>
              <w:t xml:space="preserve">Zone AMEL / fonds propres</w:t>
            </w:r>
          </w:p>
        </w:tc>
        <w:tc>
          <w:p>
            <w:pPr>
              <w:pStyle w:val="Compact"/>
              <w:jc w:val="left"/>
            </w:pPr>
            <w:r>
              <w:t xml:space="preserve">305 411</w:t>
            </w:r>
            <w:r>
              <w:t xml:space="preserve"> </w:t>
            </w:r>
            <w:r>
              <w:rPr>
                <w:i/>
              </w:rPr>
              <w:t xml:space="preserve">8.0%</w:t>
            </w:r>
          </w:p>
        </w:tc>
        <w:tc>
          <w:p>
            <w:pPr>
              <w:pStyle w:val="Compact"/>
              <w:jc w:val="left"/>
            </w:pPr>
            <w:r>
              <w:t xml:space="preserve">269 529</w:t>
            </w:r>
            <w:r>
              <w:t xml:space="preserve"> </w:t>
            </w:r>
            <w:r>
              <w:rPr>
                <w:i/>
              </w:rPr>
              <w:t xml:space="preserve">88.0%</w:t>
            </w:r>
          </w:p>
        </w:tc>
      </w:tr>
      <w:tr>
        <w:tc>
          <w:p>
            <w:pPr>
              <w:pStyle w:val="Compact"/>
              <w:jc w:val="left"/>
            </w:pPr>
            <w:r>
              <w:t xml:space="preserve">Zone AMII</w:t>
            </w:r>
          </w:p>
        </w:tc>
        <w:tc>
          <w:p>
            <w:pPr>
              <w:pStyle w:val="Compact"/>
              <w:jc w:val="left"/>
            </w:pPr>
            <w:r>
              <w:t xml:space="preserve">1 744 471</w:t>
            </w:r>
            <w:r>
              <w:t xml:space="preserve"> </w:t>
            </w:r>
            <w:r>
              <w:rPr>
                <w:i/>
              </w:rPr>
              <w:t xml:space="preserve">47.0%</w:t>
            </w:r>
          </w:p>
        </w:tc>
        <w:tc>
          <w:p>
            <w:pPr>
              <w:pStyle w:val="Compact"/>
              <w:jc w:val="left"/>
            </w:pPr>
            <w:r>
              <w:t xml:space="preserve">1 524 235</w:t>
            </w:r>
            <w:r>
              <w:t xml:space="preserve"> </w:t>
            </w:r>
            <w:r>
              <w:rPr>
                <w:i/>
              </w:rPr>
              <w:t xml:space="preserve">87.0%</w:t>
            </w:r>
          </w:p>
        </w:tc>
      </w:tr>
      <w:tr>
        <w:tc>
          <w:p>
            <w:pPr>
              <w:pStyle w:val="Compact"/>
              <w:jc w:val="left"/>
            </w:pPr>
            <w:r>
              <w:t xml:space="preserve">Zone RIP</w:t>
            </w:r>
          </w:p>
        </w:tc>
        <w:tc>
          <w:p>
            <w:pPr>
              <w:pStyle w:val="Compact"/>
              <w:jc w:val="left"/>
            </w:pPr>
            <w:r>
              <w:t xml:space="preserve">573 505</w:t>
            </w:r>
            <w:r>
              <w:t xml:space="preserve"> </w:t>
            </w:r>
            <w:r>
              <w:rPr>
                <w:i/>
              </w:rPr>
              <w:t xml:space="preserve">15.0%</w:t>
            </w:r>
          </w:p>
        </w:tc>
        <w:tc>
          <w:p>
            <w:pPr>
              <w:pStyle w:val="Compact"/>
              <w:jc w:val="left"/>
            </w:pPr>
            <w:r>
              <w:t xml:space="preserve">490 653</w:t>
            </w:r>
            <w:r>
              <w:t xml:space="preserve"> </w:t>
            </w:r>
            <w:r>
              <w:rPr>
                <w:i/>
              </w:rPr>
              <w:t xml:space="preserve">86.0%</w:t>
            </w:r>
          </w:p>
        </w:tc>
      </w:tr>
      <w:tr>
        <w:tc>
          <w:p>
            <w:pPr>
              <w:pStyle w:val="Compact"/>
              <w:jc w:val="left"/>
            </w:pPr>
            <w:r>
              <w:rPr>
                <w:b/>
              </w:rPr>
              <w:t xml:space="preserve">Total</w:t>
            </w:r>
          </w:p>
        </w:tc>
        <w:tc>
          <w:p>
            <w:pPr>
              <w:pStyle w:val="Compact"/>
              <w:jc w:val="left"/>
            </w:pPr>
            <w:r>
              <w:t xml:space="preserve">3 727 938</w:t>
            </w:r>
            <w:r>
              <w:t xml:space="preserve"> </w:t>
            </w:r>
            <w:r>
              <w:rPr>
                <w:i/>
              </w:rPr>
              <w:t xml:space="preserve">100%</w:t>
            </w:r>
          </w:p>
        </w:tc>
        <w:tc>
          <w:p>
            <w:pPr>
              <w:pStyle w:val="Compact"/>
              <w:jc w:val="left"/>
            </w:pPr>
            <w:r>
              <w:t xml:space="preserve">3 254 013</w:t>
            </w:r>
            <w:r>
              <w:t xml:space="preserve"> </w:t>
            </w:r>
            <w:r>
              <w:rPr>
                <w:i/>
              </w:rPr>
              <w:t xml:space="preserve">87.0%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XX départements.</w:t>
      </w:r>
    </w:p>
    <w:p>
      <w:pPr>
        <w:pStyle w:val="Titre2"/>
      </w:pPr>
      <w:bookmarkStart w:id="23" w:name="fabriques-numériques"/>
      <w:r>
        <w:t xml:space="preserve">Fabriques numériques</w:t>
      </w:r>
      <w:bookmarkEnd w:id="23"/>
    </w:p>
    <w:p>
      <w:pPr>
        <w:pStyle w:val="FirstParagraph"/>
      </w:pPr>
      <w:r>
        <w:t xml:space="preserve">300 fabriques ont déjà été retenues au titre de</w:t>
      </w:r>
      <w:r>
        <w:t xml:space="preserve"> </w:t>
      </w:r>
      <w:r>
        <w:t xml:space="preserve">l’AMI, dont 24 en région Provence-Alpes-Côte d’Azur :</w:t>
      </w:r>
    </w:p>
    <w:p>
      <w:pPr>
        <w:pStyle w:val="Compact"/>
        <w:numPr>
          <w:numId w:val="1002"/>
          <w:ilvl w:val="0"/>
        </w:numPr>
      </w:pPr>
      <w:r>
        <w:t xml:space="preserve">Alpes-de-Haute-Provence (04) :</w:t>
      </w:r>
    </w:p>
    <w:p>
      <w:pPr>
        <w:pStyle w:val="Compact"/>
        <w:numPr>
          <w:numId w:val="1003"/>
          <w:ilvl w:val="1"/>
        </w:numPr>
      </w:pPr>
      <w:r>
        <w:t xml:space="preserve">La Fabrique à Liens d’Artemisia à Forcalquier</w:t>
      </w:r>
    </w:p>
    <w:p>
      <w:pPr>
        <w:pStyle w:val="Compact"/>
        <w:numPr>
          <w:numId w:val="1003"/>
          <w:ilvl w:val="1"/>
        </w:numPr>
      </w:pPr>
      <w:r>
        <w:t xml:space="preserve">Espace Collaboratif Equitable à Volx</w:t>
      </w:r>
    </w:p>
    <w:p>
      <w:pPr>
        <w:pStyle w:val="Compact"/>
        <w:numPr>
          <w:numId w:val="1002"/>
          <w:ilvl w:val="0"/>
        </w:numPr>
      </w:pPr>
      <w:r>
        <w:t xml:space="preserve">Hautes-Alpes (05) :</w:t>
      </w:r>
    </w:p>
    <w:p>
      <w:pPr>
        <w:pStyle w:val="Compact"/>
        <w:numPr>
          <w:numId w:val="1004"/>
          <w:ilvl w:val="1"/>
        </w:numPr>
      </w:pPr>
      <w:r>
        <w:t xml:space="preserve">Initiative Alpes Provence à Gap</w:t>
      </w:r>
    </w:p>
    <w:p>
      <w:pPr>
        <w:pStyle w:val="Compact"/>
        <w:numPr>
          <w:numId w:val="1004"/>
          <w:ilvl w:val="1"/>
        </w:numPr>
      </w:pPr>
      <w:r>
        <w:t xml:space="preserve">Court Circuit à Veynes</w:t>
      </w:r>
    </w:p>
    <w:p>
      <w:pPr>
        <w:pStyle w:val="Compact"/>
        <w:numPr>
          <w:numId w:val="1002"/>
          <w:ilvl w:val="0"/>
        </w:numPr>
      </w:pPr>
      <w:r>
        <w:t xml:space="preserve">Alpes-Maritimes (06) :</w:t>
      </w:r>
    </w:p>
    <w:p>
      <w:pPr>
        <w:pStyle w:val="Compact"/>
        <w:numPr>
          <w:numId w:val="1005"/>
          <w:ilvl w:val="1"/>
        </w:numPr>
      </w:pPr>
      <w:r>
        <w:t xml:space="preserve">Logis des Jeunes de Provence à Cannes</w:t>
      </w:r>
    </w:p>
    <w:p>
      <w:pPr>
        <w:pStyle w:val="Compact"/>
        <w:numPr>
          <w:numId w:val="1005"/>
          <w:ilvl w:val="1"/>
        </w:numPr>
      </w:pPr>
      <w:r>
        <w:t xml:space="preserve">S.C.I.C. T.E.T.R.I.S (Transition Ecologique Territoriale par la Recherche et l’Innovation Sociale) à Grasse</w:t>
      </w:r>
    </w:p>
    <w:p>
      <w:pPr>
        <w:pStyle w:val="Compact"/>
        <w:numPr>
          <w:numId w:val="1005"/>
          <w:ilvl w:val="1"/>
        </w:numPr>
      </w:pPr>
      <w:r>
        <w:t xml:space="preserve">Le Hublot à Nice</w:t>
      </w:r>
    </w:p>
    <w:p>
      <w:pPr>
        <w:pStyle w:val="Compact"/>
        <w:numPr>
          <w:numId w:val="1002"/>
          <w:ilvl w:val="0"/>
        </w:numPr>
      </w:pPr>
      <w:r>
        <w:t xml:space="preserve">Bouches-du-Rhône (13) :</w:t>
      </w:r>
    </w:p>
    <w:p>
      <w:pPr>
        <w:pStyle w:val="Compact"/>
        <w:numPr>
          <w:numId w:val="1006"/>
          <w:ilvl w:val="1"/>
        </w:numPr>
      </w:pPr>
      <w:r>
        <w:t xml:space="preserve">ANONYMAL à Aix-en-Provence</w:t>
      </w:r>
    </w:p>
    <w:p>
      <w:pPr>
        <w:pStyle w:val="Compact"/>
        <w:numPr>
          <w:numId w:val="1006"/>
          <w:ilvl w:val="1"/>
        </w:numPr>
      </w:pPr>
      <w:r>
        <w:t xml:space="preserve">T CAP 21 TRISOMIE 21 CAPACITE AUTODETERMINATION PROJET DE VIE à Ensuès-la-Redonne</w:t>
      </w:r>
    </w:p>
    <w:p>
      <w:pPr>
        <w:pStyle w:val="Compact"/>
        <w:numPr>
          <w:numId w:val="1006"/>
          <w:ilvl w:val="1"/>
        </w:numPr>
      </w:pPr>
      <w:r>
        <w:t xml:space="preserve">ASSOCIATION CIRCULAIRE à Marseille</w:t>
      </w:r>
    </w:p>
    <w:p>
      <w:pPr>
        <w:pStyle w:val="Compact"/>
        <w:numPr>
          <w:numId w:val="1006"/>
          <w:ilvl w:val="1"/>
        </w:numPr>
      </w:pPr>
      <w:r>
        <w:t xml:space="preserve">ASSOCIATION COSENS</w:t>
      </w:r>
      <w:r>
        <w:t xml:space="preserve"> </w:t>
      </w:r>
      <w:r>
        <w:t xml:space="preserve">pour le tiers-lieu LE LIEU-DIT</w:t>
      </w:r>
      <w:r>
        <w:t xml:space="preserve"> </w:t>
      </w:r>
      <w:r>
        <w:t xml:space="preserve">pour le consortium LA DISTILLERIE DU VERDON à Marseille</w:t>
      </w:r>
    </w:p>
    <w:p>
      <w:pPr>
        <w:pStyle w:val="Compact"/>
        <w:numPr>
          <w:numId w:val="1006"/>
          <w:ilvl w:val="1"/>
        </w:numPr>
      </w:pPr>
      <w:r>
        <w:t xml:space="preserve">Heko Farm à Marseille</w:t>
      </w:r>
    </w:p>
    <w:p>
      <w:pPr>
        <w:pStyle w:val="Compact"/>
        <w:numPr>
          <w:numId w:val="1006"/>
          <w:ilvl w:val="1"/>
        </w:numPr>
      </w:pPr>
      <w:r>
        <w:t xml:space="preserve">LA FABULERIE à Marseille</w:t>
      </w:r>
    </w:p>
    <w:p>
      <w:pPr>
        <w:pStyle w:val="Compact"/>
        <w:numPr>
          <w:numId w:val="1006"/>
          <w:ilvl w:val="1"/>
        </w:numPr>
      </w:pPr>
      <w:r>
        <w:t xml:space="preserve">SCIC FRICHE LA BELLE DE MAI à Marseille</w:t>
      </w:r>
    </w:p>
    <w:p>
      <w:pPr>
        <w:pStyle w:val="Compact"/>
        <w:numPr>
          <w:numId w:val="1006"/>
          <w:ilvl w:val="1"/>
        </w:numPr>
      </w:pPr>
      <w:r>
        <w:t xml:space="preserve">URBAN PROD à Marseille</w:t>
      </w:r>
    </w:p>
    <w:p>
      <w:pPr>
        <w:pStyle w:val="Compact"/>
        <w:numPr>
          <w:numId w:val="1006"/>
          <w:ilvl w:val="1"/>
        </w:numPr>
      </w:pPr>
      <w:r>
        <w:t xml:space="preserve">YES WE CAMP à Marseille</w:t>
      </w:r>
    </w:p>
    <w:p>
      <w:pPr>
        <w:pStyle w:val="Compact"/>
        <w:numPr>
          <w:numId w:val="1006"/>
          <w:ilvl w:val="1"/>
        </w:numPr>
      </w:pPr>
      <w:r>
        <w:t xml:space="preserve">Association pour l’Animation et la Gestion des Equipements Sociaux des Canourgues à Salon-de-Provence</w:t>
      </w:r>
    </w:p>
    <w:p>
      <w:pPr>
        <w:pStyle w:val="Compact"/>
        <w:numPr>
          <w:numId w:val="1002"/>
          <w:ilvl w:val="0"/>
        </w:numPr>
      </w:pPr>
      <w:r>
        <w:t xml:space="preserve">Var (83) :</w:t>
      </w:r>
    </w:p>
    <w:p>
      <w:pPr>
        <w:pStyle w:val="Compact"/>
        <w:numPr>
          <w:numId w:val="1007"/>
          <w:ilvl w:val="1"/>
        </w:numPr>
      </w:pPr>
      <w:r>
        <w:t xml:space="preserve">Association MODE pour le consortium le C-Num à Draguignan</w:t>
      </w:r>
    </w:p>
    <w:p>
      <w:pPr>
        <w:pStyle w:val="Compact"/>
        <w:numPr>
          <w:numId w:val="1007"/>
          <w:ilvl w:val="1"/>
        </w:numPr>
      </w:pPr>
      <w:r>
        <w:t xml:space="preserve">La Vallée du Gapeau en Transition à Solliès-Toucas</w:t>
      </w:r>
    </w:p>
    <w:p>
      <w:pPr>
        <w:pStyle w:val="Compact"/>
        <w:numPr>
          <w:numId w:val="1002"/>
          <w:ilvl w:val="0"/>
        </w:numPr>
      </w:pPr>
      <w:r>
        <w:t xml:space="preserve">Vaucluse (84) :</w:t>
      </w:r>
    </w:p>
    <w:p>
      <w:pPr>
        <w:pStyle w:val="Compact"/>
        <w:numPr>
          <w:numId w:val="1008"/>
          <w:ilvl w:val="1"/>
        </w:numPr>
      </w:pPr>
      <w:r>
        <w:t xml:space="preserve">AVENIR 84 à Avignon</w:t>
      </w:r>
    </w:p>
    <w:p>
      <w:pPr>
        <w:pStyle w:val="Compact"/>
        <w:numPr>
          <w:numId w:val="1008"/>
          <w:ilvl w:val="1"/>
        </w:numPr>
      </w:pPr>
      <w:r>
        <w:t xml:space="preserve">Association de Préfiguration de la Gare Numérique à Carpentras</w:t>
      </w:r>
    </w:p>
    <w:p>
      <w:pPr>
        <w:pStyle w:val="Compact"/>
        <w:numPr>
          <w:numId w:val="1008"/>
          <w:ilvl w:val="1"/>
        </w:numPr>
      </w:pPr>
      <w:r>
        <w:t xml:space="preserve">SCIC AKWABA KA THEATRE à Châteauneuf-de-Gadagne</w:t>
      </w:r>
    </w:p>
    <w:p>
      <w:pPr>
        <w:pStyle w:val="Compact"/>
        <w:numPr>
          <w:numId w:val="1008"/>
          <w:ilvl w:val="1"/>
        </w:numPr>
      </w:pPr>
      <w:r>
        <w:t xml:space="preserve">Deltalab Préfiguration / Espace Maison Milon à Grillon</w:t>
      </w:r>
    </w:p>
    <w:p>
      <w:pPr>
        <w:pStyle w:val="Compact"/>
        <w:numPr>
          <w:numId w:val="1008"/>
          <w:ilvl w:val="1"/>
        </w:numPr>
      </w:pPr>
      <w:r>
        <w:t xml:space="preserve">La Fruitière Numérique à Lourmarin</w:t>
      </w:r>
    </w:p>
    <w:p>
      <w:pPr>
        <w:pStyle w:val="Titre2"/>
      </w:pPr>
      <w:bookmarkStart w:id="24" w:name="manufactures-de-proximité"/>
      <w:r>
        <w:t xml:space="preserve">Manufactures de proximité</w:t>
      </w:r>
      <w:bookmarkEnd w:id="24"/>
    </w:p>
    <w:p>
      <w:pPr>
        <w:pStyle w:val="FirstParagraph"/>
      </w:pPr>
      <w:r>
        <w:t xml:space="preserve">L’AMI Manufactures de proximité a été lancé le 7 octobre 2021, pour une clôture définitive le 3 mars 2022.</w:t>
      </w:r>
    </w:p>
    <w:p>
      <w:pPr>
        <w:pStyle w:val="Corpsdetexte"/>
      </w:pPr>
      <w:r>
        <w:t xml:space="preserve">À date (12 septembre 2024), ce sont 99 Manufactures de proximité qui ont été labellisées, dont 7 dans la région :</w:t>
      </w:r>
    </w:p>
    <w:p>
      <w:pPr>
        <w:pStyle w:val="Compact"/>
        <w:numPr>
          <w:numId w:val="1009"/>
          <w:ilvl w:val="0"/>
        </w:numPr>
      </w:pPr>
      <w:r>
        <w:t xml:space="preserve">Aromatic FabLab La Manufacture (Grasse)</w:t>
      </w:r>
    </w:p>
    <w:p>
      <w:pPr>
        <w:pStyle w:val="Compact"/>
        <w:numPr>
          <w:numId w:val="1009"/>
          <w:ilvl w:val="0"/>
        </w:numPr>
      </w:pPr>
      <w:r>
        <w:t xml:space="preserve">La Grange des Roues (Sorgues)</w:t>
      </w:r>
    </w:p>
    <w:p>
      <w:pPr>
        <w:pStyle w:val="Compact"/>
        <w:numPr>
          <w:numId w:val="1009"/>
          <w:ilvl w:val="0"/>
        </w:numPr>
      </w:pPr>
      <w:r>
        <w:t xml:space="preserve">La Manufacture Pernoise (Pernes-les-Fontaines)</w:t>
      </w:r>
    </w:p>
    <w:p>
      <w:pPr>
        <w:pStyle w:val="Compact"/>
        <w:numPr>
          <w:numId w:val="1009"/>
          <w:ilvl w:val="0"/>
        </w:numPr>
      </w:pPr>
      <w:r>
        <w:t xml:space="preserve">Manufacture de la Roya (La Brigue)</w:t>
      </w:r>
    </w:p>
    <w:p>
      <w:pPr>
        <w:pStyle w:val="Compact"/>
        <w:numPr>
          <w:numId w:val="1009"/>
          <w:ilvl w:val="0"/>
        </w:numPr>
      </w:pPr>
      <w:r>
        <w:t xml:space="preserve">Manufacture des CIMES (Coopérations Interprofessionnelles des Métiers de l’Ecoconstruction - Sud) (Gréolières)</w:t>
      </w:r>
    </w:p>
    <w:p>
      <w:pPr>
        <w:pStyle w:val="Compact"/>
        <w:numPr>
          <w:numId w:val="1009"/>
          <w:ilvl w:val="0"/>
        </w:numPr>
      </w:pPr>
      <w:r>
        <w:t xml:space="preserve">Structuration de la manufacture Share-Wood Marseille (Marseille 14e Arrondissement)</w:t>
      </w:r>
    </w:p>
    <w:p>
      <w:pPr>
        <w:pStyle w:val="Compact"/>
        <w:numPr>
          <w:numId w:val="1009"/>
          <w:ilvl w:val="0"/>
        </w:numPr>
      </w:pPr>
      <w:r>
        <w:t xml:space="preserve">Structuration de la manufacture Share-Wood Marseille (Marseille 14e Arrondissement)</w:t>
      </w:r>
    </w:p>
    <w:p>
      <w:pPr>
        <w:pStyle w:val="Titre2"/>
      </w:pPr>
      <w:bookmarkStart w:id="25" w:name="hubs-territoriaux"/>
      <w:r>
        <w:t xml:space="preserve">Hubs Territoriaux</w:t>
      </w:r>
      <w:bookmarkEnd w:id="25"/>
    </w:p>
    <w:p>
      <w:pPr>
        <w:pStyle w:val="FirstParagraph"/>
      </w:pPr>
      <w:r>
        <w:t xml:space="preserve">La totalité du territoire est couverte en hubs.</w:t>
      </w:r>
    </w:p>
    <w:p>
      <w:pPr>
        <w:pStyle w:val="Corpsdetexte"/>
      </w:pPr>
      <w:r>
        <w:t xml:space="preserve">La région Provence-Alpes-Côte d’Azur</w:t>
      </w:r>
      <w:r>
        <w:t xml:space="preserve"> </w:t>
      </w:r>
      <w:r>
        <w:t xml:space="preserve">est couverte</w:t>
      </w:r>
      <w:r>
        <w:t xml:space="preserve"> </w:t>
      </w:r>
      <w:r>
        <w:t xml:space="preserve">par le hub « Hub du Sud »</w:t>
      </w:r>
      <w:r>
        <w:t xml:space="preserve"> </w:t>
      </w:r>
      <w:r>
        <w:t xml:space="preserve">n’est pas couverte par un hub</w:t>
      </w:r>
      <w:r>
        <w:t xml:space="preserve"> </w:t>
      </w:r>
      <w:r>
        <w:t xml:space="preserve">.</w:t>
      </w:r>
    </w:p>
    <w:p>
      <w:pPr>
        <w:pStyle w:val="Titre2"/>
      </w:pPr>
      <w:bookmarkStart w:id="26" w:name="conseillers-numériques"/>
      <w:r>
        <w:t xml:space="preserve">Conseillers numériques</w:t>
      </w:r>
      <w:bookmarkEnd w:id="26"/>
    </w:p>
    <w:p>
      <w:pPr>
        <w:pStyle w:val="Compact"/>
        <w:numPr>
          <w:numId w:val="1010"/>
          <w:ilvl w:val="0"/>
        </w:numPr>
      </w:pPr>
      <w:r>
        <w:t xml:space="preserve">296 CNFS validés dans 196 structures d’accueil</w:t>
      </w:r>
    </w:p>
    <w:p>
      <w:pPr>
        <w:pStyle w:val="Compact"/>
        <w:numPr>
          <w:numId w:val="1010"/>
          <w:ilvl w:val="0"/>
        </w:numPr>
      </w:pPr>
      <w:r>
        <w:t xml:space="preserve">232 CNFS recrutés</w:t>
      </w:r>
    </w:p>
    <w:p>
      <w:pPr>
        <w:pStyle w:val="Compact"/>
        <w:numPr>
          <w:numId w:val="1010"/>
          <w:ilvl w:val="0"/>
        </w:numPr>
      </w:pPr>
      <w:r>
        <w:t xml:space="preserve">1 CNFS en formation</w:t>
      </w:r>
    </w:p>
    <w:p>
      <w:pPr>
        <w:pStyle w:val="Compact"/>
        <w:numPr>
          <w:numId w:val="1010"/>
          <w:ilvl w:val="0"/>
        </w:numPr>
      </w:pPr>
      <w:r>
        <w:t xml:space="preserve">171 CNFS en poste</w:t>
      </w:r>
    </w:p>
    <w:p>
      <w:pPr>
        <w:pStyle w:val="Titre2"/>
      </w:pPr>
      <w:bookmarkStart w:id="27" w:name="aidants-connect"/>
      <w:r>
        <w:t xml:space="preserve">Aidants connect</w:t>
      </w:r>
      <w:bookmarkEnd w:id="27"/>
    </w:p>
    <w:p>
      <w:pPr>
        <w:pStyle w:val="FirstParagraph"/>
      </w:pPr>
      <w:r>
        <w:t xml:space="preserve">Aidants connect est un service public numérique qui sécurise et facilite le</w:t>
      </w:r>
      <w:r>
        <w:t xml:space="preserve"> </w:t>
      </w:r>
      <w:r>
        <w:t xml:space="preserve">« faire pour le compte de ». Il est notamment déployé auprès des</w:t>
      </w:r>
      <w:r>
        <w:t xml:space="preserve"> </w:t>
      </w:r>
      <w:r>
        <w:t xml:space="preserve">travailleurs sociaux, les agents publics d’accueil ou les médiateurs</w:t>
      </w:r>
      <w:r>
        <w:t xml:space="preserve"> </w:t>
      </w:r>
      <w:r>
        <w:t xml:space="preserve">numériques pour accompagner les citoyens qui n’arrivent pas à faire seuls</w:t>
      </w:r>
      <w:r>
        <w:t xml:space="preserve"> </w:t>
      </w:r>
      <w:r>
        <w:t xml:space="preserve">leurs démarches administratives en ligne.</w:t>
      </w:r>
    </w:p>
    <w:p>
      <w:pPr>
        <w:pStyle w:val="Corpsdetexte"/>
      </w:pPr>
      <w:r>
        <w:t xml:space="preserve">État des déploiements dans la région :</w:t>
      </w:r>
    </w:p>
    <w:p>
      <w:pPr>
        <w:pStyle w:val="Compact"/>
        <w:numPr>
          <w:numId w:val="1011"/>
          <w:ilvl w:val="0"/>
        </w:numPr>
      </w:pPr>
      <w:r>
        <w:t xml:space="preserve">344 structures candidates</w:t>
      </w:r>
    </w:p>
    <w:p>
      <w:pPr>
        <w:pStyle w:val="Compact"/>
        <w:numPr>
          <w:numId w:val="1011"/>
          <w:ilvl w:val="0"/>
        </w:numPr>
      </w:pPr>
      <w:r>
        <w:t xml:space="preserve">1403 aidants à habiliter au total</w:t>
      </w:r>
    </w:p>
    <w:p>
      <w:pPr>
        <w:pStyle w:val="Compact"/>
        <w:numPr>
          <w:numId w:val="1011"/>
          <w:ilvl w:val="0"/>
        </w:numPr>
      </w:pPr>
      <w:r>
        <w:t xml:space="preserve">338 structures ont finalisé leur habilitation (1203 aidants formés au 16 septembre 2024)</w:t>
      </w:r>
    </w:p>
    <w:p>
      <w:pPr>
        <w:pStyle w:val="Titre2"/>
      </w:pPr>
      <w:bookmarkStart w:id="28" w:name="bases-adresses-locales"/>
      <w:r>
        <w:t xml:space="preserve">Bases adresses locales</w:t>
      </w:r>
      <w:bookmarkEnd w:id="28"/>
    </w:p>
    <w:p>
      <w:pPr>
        <w:pStyle w:val="FirstParagraph"/>
      </w:pPr>
      <w:r>
        <w:t xml:space="preserve">731 communes de la région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29" w:name="fraîcheur-des-données"/>
      <w:r>
        <w:t xml:space="preserve">Fraîcheur des données</w:t>
      </w:r>
      <w:bookmarkEnd w:id="29"/>
    </w:p>
    <w:p>
      <w:pPr>
        <w:pStyle w:val="FirstParagraph"/>
      </w:pPr>
      <w:r>
        <w:t xml:space="preserve">Fiche générée le 19 septembre 2024 à 04:17.</w:t>
      </w:r>
    </w:p>
    <w:p>
      <w:pPr>
        <w:pStyle w:val="Corpsdetexte"/>
      </w:pPr>
      <w:r>
        <w:t xml:space="preserve">Les sources de données suivantes ont été utilisées :</w:t>
      </w:r>
    </w:p>
    <w:p>
      <w:pPr>
        <w:pStyle w:val="Compact"/>
        <w:numPr>
          <w:numId w:val="1012"/>
          <w:ilvl w:val="0"/>
        </w:numPr>
      </w:pPr>
      <w:r>
        <w:t xml:space="preserve">Aidants Connect : dernière mise à jour 16 septembre 2024</w:t>
      </w:r>
    </w:p>
    <w:p>
      <w:pPr>
        <w:pStyle w:val="Compact"/>
        <w:numPr>
          <w:numId w:val="1012"/>
          <w:ilvl w:val="0"/>
        </w:numPr>
      </w:pPr>
      <w:r>
        <w:t xml:space="preserve">Arcep – Technologies par commune : dernière mise à jour 05 avril 2024</w:t>
      </w:r>
    </w:p>
    <w:p>
      <w:pPr>
        <w:pStyle w:val="Compact"/>
        <w:numPr>
          <w:numId w:val="1012"/>
          <w:ilvl w:val="0"/>
        </w:numPr>
      </w:pPr>
      <w:r>
        <w:t xml:space="preserve">Conseillers numériques : dernière mise à jour 19 septembre 2024</w:t>
      </w:r>
    </w:p>
    <w:p>
      <w:pPr>
        <w:pStyle w:val="Compact"/>
        <w:numPr>
          <w:numId w:val="1012"/>
          <w:ilvl w:val="0"/>
        </w:numPr>
      </w:pPr>
      <w:r>
        <w:t xml:space="preserve">Fabriques de Territoire : dernière mise à jour 12 septembre 2024</w:t>
      </w:r>
    </w:p>
    <w:p>
      <w:pPr>
        <w:pStyle w:val="Compact"/>
        <w:numPr>
          <w:numId w:val="1012"/>
          <w:ilvl w:val="0"/>
        </w:numPr>
      </w:pPr>
      <w:r>
        <w:t xml:space="preserve">France Mobile : dernière mise à jour 31 mai 2024</w:t>
      </w:r>
    </w:p>
    <w:p>
      <w:pPr>
        <w:pStyle w:val="Compact"/>
        <w:numPr>
          <w:numId w:val="1012"/>
          <w:ilvl w:val="0"/>
        </w:numPr>
      </w:pPr>
      <w:r>
        <w:t xml:space="preserve">Hubs territoriaux</w:t>
      </w:r>
    </w:p>
    <w:p>
      <w:pPr>
        <w:pStyle w:val="Compact"/>
        <w:numPr>
          <w:numId w:val="1012"/>
          <w:ilvl w:val="0"/>
        </w:numPr>
      </w:pPr>
      <w:r>
        <w:t xml:space="preserve">Manufactures de proximité : dernière mise à jour 12 septembre 2024</w:t>
      </w:r>
    </w:p>
    <w:p>
      <w:pPr>
        <w:pStyle w:val="Compact"/>
        <w:numPr>
          <w:numId w:val="1012"/>
          <w:ilvl w:val="0"/>
        </w:numPr>
      </w:pPr>
      <w:r>
        <w:t xml:space="preserve">Structures d’accueil conseillers numériques : dernière mise à jour 19 septembre 2024</w:t>
      </w:r>
    </w:p>
    <w:p>
      <w:pPr>
        <w:pStyle w:val="Compact"/>
        <w:numPr>
          <w:numId w:val="1012"/>
          <w:ilvl w:val="0"/>
        </w:numPr>
      </w:pPr>
      <w:r>
        <w:t xml:space="preserve">Suivi Bases adresses locales</w:t>
      </w:r>
    </w:p>
    <w:p>
      <w:pPr>
        <w:pStyle w:val="Compact"/>
        <w:numPr>
          <w:numId w:val="1012"/>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2024-09-19T02:17:35Z</dcterms:created>
  <dcterms:modified xsi:type="dcterms:W3CDTF">2024-09-19T02:17:35Z</dcterms:modified>
</cp:coreProperties>
</file>

<file path=docProps/custom.xml><?xml version="1.0" encoding="utf-8"?>
<Properties xmlns="http://schemas.openxmlformats.org/officeDocument/2006/custom-properties" xmlns:vt="http://schemas.openxmlformats.org/officeDocument/2006/docPropsVTypes"/>
</file>