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occitanie"/>
      <w:r>
        <w:t xml:space="preserve">Numérique « Occitanie »</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w:t>
      </w:r>
      <w:r>
        <w:t xml:space="preserve"> </w:t>
      </w:r>
      <w:r>
        <w:t xml:space="preserve">parmi lesquels 523 ont d’ores et déjà été mis en service.</w:t>
      </w:r>
    </w:p>
    <w:p>
      <w:pPr>
        <w:pStyle w:val="Corpsdetexte"/>
      </w:pPr>
      <w:r>
        <w:t xml:space="preserve">Dans le cadre du dispositif 4G fixe, dans la région Occitanie,</w:t>
      </w:r>
      <w:r>
        <w:t xml:space="preserve"> </w:t>
      </w:r>
      <w:r>
        <w:t xml:space="preserve">57 sites ont été identifiés,</w:t>
      </w:r>
      <w:r>
        <w:t xml:space="preserve"> </w:t>
      </w:r>
      <w:r>
        <w:t xml:space="preserve">et 39 ont déjà été mis en service.</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4 initiatives complémentaires :</w:t>
      </w:r>
    </w:p>
    <w:p>
      <w:pPr>
        <w:pStyle w:val="Compact"/>
        <w:numPr>
          <w:numId w:val="1001"/>
          <w:ilvl w:val="0"/>
        </w:numPr>
      </w:pPr>
      <w:r>
        <w:t xml:space="preserve">L’initiative privée des opérateurs dans la zone très dense, qui comprend 2 communes ;</w:t>
      </w:r>
    </w:p>
    <w:p>
      <w:pPr>
        <w:pStyle w:val="Compact"/>
        <w:numPr>
          <w:numId w:val="1001"/>
          <w:ilvl w:val="0"/>
        </w:numPr>
      </w:pPr>
      <w:r>
        <w:t xml:space="preserve">celle de Altitude Infra et Orange sur 462 communes ;</w:t>
      </w:r>
    </w:p>
    <w:p>
      <w:pPr>
        <w:pStyle w:val="Compact"/>
        <w:numPr>
          <w:numId w:val="1001"/>
          <w:ilvl w:val="0"/>
        </w:numPr>
      </w:pPr>
      <w:r>
        <w:t xml:space="preserve">celle de Orange et XP Fibre sur 366 communes ;</w:t>
      </w:r>
    </w:p>
    <w:p>
      <w:pPr>
        <w:pStyle w:val="Compact"/>
        <w:numPr>
          <w:numId w:val="1001"/>
          <w:ilvl w:val="0"/>
        </w:numPr>
      </w:pPr>
      <w:r>
        <w:t xml:space="preserve">celle de CC des Hautes Terres de l’Aubrac, CC Grand Sud Tarn et Garonne, CD Ariège, CD Gard, CD Hérault, CD Pyrénées-Orientales, CD Tarn, Gers Numérique, Haute-Garonne Numérique, Lot numérique, Lozère Numérique, SIEDA, SYADEN et Tarn-et-Garonne Numérique dans la zone d’initiative publique qui comprend 3624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571 758</w:t>
            </w:r>
            <w:r>
              <w:t xml:space="preserve"> </w:t>
            </w:r>
            <w:r>
              <w:rPr>
                <w:i/>
              </w:rPr>
              <w:t xml:space="preserve">13.0%</w:t>
            </w:r>
          </w:p>
        </w:tc>
        <w:tc>
          <w:p>
            <w:pPr>
              <w:pStyle w:val="Compact"/>
              <w:jc w:val="left"/>
            </w:pPr>
            <w:r>
              <w:t xml:space="preserve">508 126</w:t>
            </w:r>
            <w:r>
              <w:t xml:space="preserve"> </w:t>
            </w:r>
            <w:r>
              <w:rPr>
                <w:i/>
              </w:rPr>
              <w:t xml:space="preserve">89.0%</w:t>
            </w:r>
          </w:p>
        </w:tc>
      </w:tr>
      <w:tr>
        <w:tc>
          <w:p>
            <w:pPr>
              <w:pStyle w:val="Compact"/>
              <w:jc w:val="left"/>
            </w:pPr>
            <w:r>
              <w:t xml:space="preserve">Zone AMEL / fonds propres</w:t>
            </w:r>
          </w:p>
        </w:tc>
        <w:tc>
          <w:p>
            <w:pPr>
              <w:pStyle w:val="Compact"/>
              <w:jc w:val="left"/>
            </w:pPr>
            <w:r>
              <w:t xml:space="preserve">120 776</w:t>
            </w:r>
            <w:r>
              <w:t xml:space="preserve"> </w:t>
            </w:r>
            <w:r>
              <w:rPr>
                <w:i/>
              </w:rPr>
              <w:t xml:space="preserve">3.0%</w:t>
            </w:r>
          </w:p>
        </w:tc>
        <w:tc>
          <w:p>
            <w:pPr>
              <w:pStyle w:val="Compact"/>
              <w:jc w:val="left"/>
            </w:pPr>
            <w:r>
              <w:t xml:space="preserve">99 001</w:t>
            </w:r>
            <w:r>
              <w:t xml:space="preserve"> </w:t>
            </w:r>
            <w:r>
              <w:rPr>
                <w:i/>
              </w:rPr>
              <w:t xml:space="preserve">82.0%</w:t>
            </w:r>
          </w:p>
        </w:tc>
      </w:tr>
      <w:tr>
        <w:tc>
          <w:p>
            <w:pPr>
              <w:pStyle w:val="Compact"/>
              <w:jc w:val="left"/>
            </w:pPr>
            <w:r>
              <w:t xml:space="preserve">Zone AMII</w:t>
            </w:r>
          </w:p>
        </w:tc>
        <w:tc>
          <w:p>
            <w:pPr>
              <w:pStyle w:val="Compact"/>
              <w:jc w:val="left"/>
            </w:pPr>
            <w:r>
              <w:t xml:space="preserve">1 597 791</w:t>
            </w:r>
            <w:r>
              <w:t xml:space="preserve"> </w:t>
            </w:r>
            <w:r>
              <w:rPr>
                <w:i/>
              </w:rPr>
              <w:t xml:space="preserve">37.0%</w:t>
            </w:r>
          </w:p>
        </w:tc>
        <w:tc>
          <w:p>
            <w:pPr>
              <w:pStyle w:val="Compact"/>
              <w:jc w:val="left"/>
            </w:pPr>
            <w:r>
              <w:t xml:space="preserve">1 433 973</w:t>
            </w:r>
            <w:r>
              <w:t xml:space="preserve"> </w:t>
            </w:r>
            <w:r>
              <w:rPr>
                <w:i/>
              </w:rPr>
              <w:t xml:space="preserve">90.0%</w:t>
            </w:r>
          </w:p>
        </w:tc>
      </w:tr>
      <w:tr>
        <w:tc>
          <w:p>
            <w:pPr>
              <w:pStyle w:val="Compact"/>
              <w:jc w:val="left"/>
            </w:pPr>
            <w:r>
              <w:t xml:space="preserve">Zone RIP</w:t>
            </w:r>
          </w:p>
        </w:tc>
        <w:tc>
          <w:p>
            <w:pPr>
              <w:pStyle w:val="Compact"/>
              <w:jc w:val="left"/>
            </w:pPr>
            <w:r>
              <w:t xml:space="preserve">2 078 729</w:t>
            </w:r>
            <w:r>
              <w:t xml:space="preserve"> </w:t>
            </w:r>
            <w:r>
              <w:rPr>
                <w:i/>
              </w:rPr>
              <w:t xml:space="preserve">48.0%</w:t>
            </w:r>
          </w:p>
        </w:tc>
        <w:tc>
          <w:p>
            <w:pPr>
              <w:pStyle w:val="Compact"/>
              <w:jc w:val="left"/>
            </w:pPr>
            <w:r>
              <w:t xml:space="preserve">1 856 964</w:t>
            </w:r>
            <w:r>
              <w:t xml:space="preserve"> </w:t>
            </w:r>
            <w:r>
              <w:rPr>
                <w:i/>
              </w:rPr>
              <w:t xml:space="preserve">89.0%</w:t>
            </w:r>
          </w:p>
        </w:tc>
      </w:tr>
      <w:tr>
        <w:tc>
          <w:p>
            <w:pPr>
              <w:pStyle w:val="Compact"/>
              <w:jc w:val="left"/>
            </w:pPr>
            <w:r>
              <w:rPr>
                <w:b/>
              </w:rPr>
              <w:t xml:space="preserve">Total</w:t>
            </w:r>
          </w:p>
        </w:tc>
        <w:tc>
          <w:p>
            <w:pPr>
              <w:pStyle w:val="Compact"/>
              <w:jc w:val="left"/>
            </w:pPr>
            <w:r>
              <w:t xml:space="preserve">4 369 054</w:t>
            </w:r>
            <w:r>
              <w:t xml:space="preserve"> </w:t>
            </w:r>
            <w:r>
              <w:rPr>
                <w:i/>
              </w:rPr>
              <w:t xml:space="preserve">100%</w:t>
            </w:r>
          </w:p>
        </w:tc>
        <w:tc>
          <w:p>
            <w:pPr>
              <w:pStyle w:val="Compact"/>
              <w:jc w:val="left"/>
            </w:pPr>
            <w:r>
              <w:t xml:space="preserve">3 898 064</w:t>
            </w:r>
            <w:r>
              <w:t xml:space="preserve"> </w:t>
            </w:r>
            <w:r>
              <w:rPr>
                <w:i/>
              </w:rPr>
              <w:t xml:space="preserve">89.0%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33 en région Occitanie :</w:t>
      </w:r>
    </w:p>
    <w:p>
      <w:pPr>
        <w:pStyle w:val="Compact"/>
        <w:numPr>
          <w:numId w:val="1002"/>
          <w:ilvl w:val="0"/>
        </w:numPr>
      </w:pPr>
      <w:r>
        <w:t xml:space="preserve">Ariège (09) :</w:t>
      </w:r>
    </w:p>
    <w:p>
      <w:pPr>
        <w:pStyle w:val="Compact"/>
        <w:numPr>
          <w:numId w:val="1003"/>
          <w:ilvl w:val="1"/>
        </w:numPr>
      </w:pPr>
      <w:r>
        <w:t xml:space="preserve">Pôle d’innovation collaborative - Tiers-Lieu de la Communauté de Communes Arize Lèze à Le Fossat</w:t>
      </w:r>
    </w:p>
    <w:p>
      <w:pPr>
        <w:pStyle w:val="Compact"/>
        <w:numPr>
          <w:numId w:val="1002"/>
          <w:ilvl w:val="0"/>
        </w:numPr>
      </w:pPr>
      <w:r>
        <w:t xml:space="preserve">Aude (11) :</w:t>
      </w:r>
    </w:p>
    <w:p>
      <w:pPr>
        <w:pStyle w:val="Compact"/>
        <w:numPr>
          <w:numId w:val="1004"/>
          <w:ilvl w:val="1"/>
        </w:numPr>
      </w:pPr>
      <w:r>
        <w:t xml:space="preserve">CARCASSONNE AGGLO à Carcassonne</w:t>
      </w:r>
    </w:p>
    <w:p>
      <w:pPr>
        <w:pStyle w:val="Compact"/>
        <w:numPr>
          <w:numId w:val="1004"/>
          <w:ilvl w:val="1"/>
        </w:numPr>
      </w:pPr>
      <w:r>
        <w:t xml:space="preserve">SAPIE à Limoux</w:t>
      </w:r>
    </w:p>
    <w:p>
      <w:pPr>
        <w:pStyle w:val="Compact"/>
        <w:numPr>
          <w:numId w:val="1004"/>
          <w:ilvl w:val="1"/>
        </w:numPr>
      </w:pPr>
      <w:r>
        <w:t xml:space="preserve">Le Grand Narbonne à Narbonne</w:t>
      </w:r>
    </w:p>
    <w:p>
      <w:pPr>
        <w:pStyle w:val="Compact"/>
        <w:numPr>
          <w:numId w:val="1002"/>
          <w:ilvl w:val="0"/>
        </w:numPr>
      </w:pPr>
      <w:r>
        <w:t xml:space="preserve">Aveyron (12) :</w:t>
      </w:r>
    </w:p>
    <w:p>
      <w:pPr>
        <w:pStyle w:val="Compact"/>
        <w:numPr>
          <w:numId w:val="1005"/>
          <w:ilvl w:val="1"/>
        </w:numPr>
      </w:pPr>
      <w:r>
        <w:t xml:space="preserve">SCOP Laëtis à Arvieu</w:t>
      </w:r>
    </w:p>
    <w:p>
      <w:pPr>
        <w:pStyle w:val="Compact"/>
        <w:numPr>
          <w:numId w:val="1005"/>
          <w:ilvl w:val="1"/>
        </w:numPr>
      </w:pPr>
      <w:r>
        <w:t xml:space="preserve">SCIC PINGPONG COWORK à Millau</w:t>
      </w:r>
    </w:p>
    <w:p>
      <w:pPr>
        <w:pStyle w:val="Compact"/>
        <w:numPr>
          <w:numId w:val="1005"/>
          <w:ilvl w:val="1"/>
        </w:numPr>
      </w:pPr>
      <w:r>
        <w:t xml:space="preserve">Association de préfiguration Station A à Rodez</w:t>
      </w:r>
    </w:p>
    <w:p>
      <w:pPr>
        <w:pStyle w:val="Compact"/>
        <w:numPr>
          <w:numId w:val="1002"/>
          <w:ilvl w:val="0"/>
        </w:numPr>
      </w:pPr>
      <w:r>
        <w:t xml:space="preserve">Gard (30) :</w:t>
      </w:r>
    </w:p>
    <w:p>
      <w:pPr>
        <w:pStyle w:val="Compact"/>
        <w:numPr>
          <w:numId w:val="1006"/>
          <w:ilvl w:val="1"/>
        </w:numPr>
      </w:pPr>
      <w:r>
        <w:t xml:space="preserve">Mairie de Bagnols-sur-Cèze à Bagnols-sur-Cèze</w:t>
      </w:r>
    </w:p>
    <w:p>
      <w:pPr>
        <w:pStyle w:val="Compact"/>
        <w:numPr>
          <w:numId w:val="1006"/>
          <w:ilvl w:val="1"/>
        </w:numPr>
      </w:pPr>
      <w:r>
        <w:t xml:space="preserve">BOOSTER à Beaucaire</w:t>
      </w:r>
    </w:p>
    <w:p>
      <w:pPr>
        <w:pStyle w:val="Compact"/>
        <w:numPr>
          <w:numId w:val="1006"/>
          <w:ilvl w:val="1"/>
        </w:numPr>
      </w:pPr>
      <w:r>
        <w:t xml:space="preserve">Association Le Spot à Nîmes</w:t>
      </w:r>
    </w:p>
    <w:p>
      <w:pPr>
        <w:pStyle w:val="Compact"/>
        <w:numPr>
          <w:numId w:val="1006"/>
          <w:ilvl w:val="1"/>
        </w:numPr>
      </w:pPr>
      <w:r>
        <w:t xml:space="preserve">Pôle Gérontologique Nîmois à Nîmes</w:t>
      </w:r>
    </w:p>
    <w:p>
      <w:pPr>
        <w:pStyle w:val="Compact"/>
        <w:numPr>
          <w:numId w:val="1006"/>
          <w:ilvl w:val="1"/>
        </w:numPr>
      </w:pPr>
      <w:r>
        <w:t xml:space="preserve">Tiers-lieu le 21 à Uzès</w:t>
      </w:r>
    </w:p>
    <w:p>
      <w:pPr>
        <w:pStyle w:val="Compact"/>
        <w:numPr>
          <w:numId w:val="1002"/>
          <w:ilvl w:val="0"/>
        </w:numPr>
      </w:pPr>
      <w:r>
        <w:t xml:space="preserve">Haute-Garonne (31) :</w:t>
      </w:r>
    </w:p>
    <w:p>
      <w:pPr>
        <w:pStyle w:val="Compact"/>
        <w:numPr>
          <w:numId w:val="1007"/>
          <w:ilvl w:val="1"/>
        </w:numPr>
      </w:pPr>
      <w:r>
        <w:t xml:space="preserve">Le 100e Singe à Escalquens</w:t>
      </w:r>
    </w:p>
    <w:p>
      <w:pPr>
        <w:pStyle w:val="Compact"/>
        <w:numPr>
          <w:numId w:val="1007"/>
          <w:ilvl w:val="1"/>
        </w:numPr>
      </w:pPr>
      <w:r>
        <w:t xml:space="preserve">INCO.org à Saint-Bertrand-de-Comminges</w:t>
      </w:r>
    </w:p>
    <w:p>
      <w:pPr>
        <w:pStyle w:val="Compact"/>
        <w:numPr>
          <w:numId w:val="1007"/>
          <w:ilvl w:val="1"/>
        </w:numPr>
      </w:pPr>
      <w:r>
        <w:t xml:space="preserve">Maison de l’Avenir Comminges-Pyrénées à Saint-Gaudens</w:t>
      </w:r>
    </w:p>
    <w:p>
      <w:pPr>
        <w:pStyle w:val="Compact"/>
        <w:numPr>
          <w:numId w:val="1007"/>
          <w:ilvl w:val="1"/>
        </w:numPr>
      </w:pPr>
      <w:r>
        <w:t xml:space="preserve">SCIC IF, LES IMAGINATIONS FERTILES ET TOULOUSE MÉTROPOLE à Toulouse</w:t>
      </w:r>
    </w:p>
    <w:p>
      <w:pPr>
        <w:pStyle w:val="Compact"/>
        <w:numPr>
          <w:numId w:val="1002"/>
          <w:ilvl w:val="0"/>
        </w:numPr>
      </w:pPr>
      <w:r>
        <w:t xml:space="preserve">Gers (32) :</w:t>
      </w:r>
    </w:p>
    <w:p>
      <w:pPr>
        <w:pStyle w:val="Compact"/>
        <w:numPr>
          <w:numId w:val="1008"/>
          <w:ilvl w:val="1"/>
        </w:numPr>
      </w:pPr>
      <w:r>
        <w:t xml:space="preserve">Gers Développement à Auch</w:t>
      </w:r>
    </w:p>
    <w:p>
      <w:pPr>
        <w:pStyle w:val="Compact"/>
        <w:numPr>
          <w:numId w:val="1002"/>
          <w:ilvl w:val="0"/>
        </w:numPr>
      </w:pPr>
      <w:r>
        <w:t xml:space="preserve">Hérault (34) :</w:t>
      </w:r>
    </w:p>
    <w:p>
      <w:pPr>
        <w:pStyle w:val="Compact"/>
        <w:numPr>
          <w:numId w:val="1009"/>
          <w:ilvl w:val="1"/>
        </w:numPr>
      </w:pPr>
      <w:r>
        <w:t xml:space="preserve">Mairie de Capestang</w:t>
      </w:r>
      <w:r>
        <w:t xml:space="preserve"> </w:t>
      </w:r>
      <w:r>
        <w:t xml:space="preserve">Représentée par son maire, Pierre Polard</w:t>
      </w:r>
      <w:r>
        <w:t xml:space="preserve"> </w:t>
      </w:r>
      <w:r>
        <w:t xml:space="preserve">Contact opérationnel : Jacques Maurand, adjoint à Capestang</w:t>
      </w:r>
    </w:p>
    <w:p>
      <w:pPr>
        <w:pStyle w:val="Compact"/>
        <w:numPr>
          <w:numId w:val="1009"/>
          <w:ilvl w:val="1"/>
        </w:numPr>
      </w:pPr>
      <w:r>
        <w:t xml:space="preserve">Bouillon cube à Causse-de-la-Selle</w:t>
      </w:r>
    </w:p>
    <w:p>
      <w:pPr>
        <w:pStyle w:val="Compact"/>
        <w:numPr>
          <w:numId w:val="1009"/>
          <w:ilvl w:val="1"/>
        </w:numPr>
      </w:pPr>
      <w:r>
        <w:t xml:space="preserve">ATELIER DE CLARET à Claret</w:t>
      </w:r>
    </w:p>
    <w:p>
      <w:pPr>
        <w:pStyle w:val="Compact"/>
        <w:numPr>
          <w:numId w:val="1009"/>
          <w:ilvl w:val="1"/>
        </w:numPr>
      </w:pPr>
      <w:r>
        <w:t xml:space="preserve">Association la Distillerie à Lodève</w:t>
      </w:r>
    </w:p>
    <w:p>
      <w:pPr>
        <w:pStyle w:val="Compact"/>
        <w:numPr>
          <w:numId w:val="1009"/>
          <w:ilvl w:val="1"/>
        </w:numPr>
      </w:pPr>
      <w:r>
        <w:t xml:space="preserve">CENTRE COMMUNAL D’ACTION SOCIAL à Montpellier</w:t>
      </w:r>
    </w:p>
    <w:p>
      <w:pPr>
        <w:pStyle w:val="Compact"/>
        <w:numPr>
          <w:numId w:val="1009"/>
          <w:ilvl w:val="1"/>
        </w:numPr>
      </w:pPr>
      <w:r>
        <w:t xml:space="preserve">SCIC TROPISME à Montpellier</w:t>
      </w:r>
    </w:p>
    <w:p>
      <w:pPr>
        <w:pStyle w:val="Compact"/>
        <w:numPr>
          <w:numId w:val="1009"/>
          <w:ilvl w:val="1"/>
        </w:numPr>
      </w:pPr>
      <w:r>
        <w:t xml:space="preserve">SCIC La Palanquée / Association Sète en commun à Sète</w:t>
      </w:r>
    </w:p>
    <w:p>
      <w:pPr>
        <w:pStyle w:val="Compact"/>
        <w:numPr>
          <w:numId w:val="1002"/>
          <w:ilvl w:val="0"/>
        </w:numPr>
      </w:pPr>
      <w:r>
        <w:t xml:space="preserve">Lot (46) :</w:t>
      </w:r>
    </w:p>
    <w:p>
      <w:pPr>
        <w:pStyle w:val="Compact"/>
        <w:numPr>
          <w:numId w:val="1010"/>
          <w:ilvl w:val="1"/>
        </w:numPr>
      </w:pPr>
      <w:r>
        <w:t xml:space="preserve">La Fabrique Francophone à Cahors</w:t>
      </w:r>
    </w:p>
    <w:p>
      <w:pPr>
        <w:pStyle w:val="Compact"/>
        <w:numPr>
          <w:numId w:val="1010"/>
          <w:ilvl w:val="1"/>
        </w:numPr>
      </w:pPr>
      <w:r>
        <w:t xml:space="preserve">Figeacteurs</w:t>
      </w:r>
      <w:r>
        <w:t xml:space="preserve"> </w:t>
      </w:r>
      <w:r>
        <w:t xml:space="preserve">Candidature déposée en consortium avec :</w:t>
      </w:r>
      <w:r>
        <w:t xml:space="preserve"> </w:t>
      </w:r>
      <w:r>
        <w:t xml:space="preserve">-Lo&amp;Li</w:t>
      </w:r>
    </w:p>
    <w:p>
      <w:pPr>
        <w:pStyle w:val="Compact"/>
        <w:numPr>
          <w:numId w:val="1002"/>
          <w:ilvl w:val="0"/>
        </w:numPr>
      </w:pPr>
      <w:r>
        <w:t xml:space="preserve">Les Pieds en l’air à Figeac</w:t>
      </w:r>
    </w:p>
    <w:p>
      <w:pPr>
        <w:pStyle w:val="Compact"/>
        <w:numPr>
          <w:numId w:val="1002"/>
          <w:ilvl w:val="0"/>
        </w:numPr>
      </w:pPr>
      <w:r>
        <w:t xml:space="preserve">Lozère (48) :</w:t>
      </w:r>
    </w:p>
    <w:p>
      <w:pPr>
        <w:pStyle w:val="Compact"/>
        <w:numPr>
          <w:numId w:val="1011"/>
          <w:ilvl w:val="1"/>
        </w:numPr>
      </w:pPr>
      <w:r>
        <w:t xml:space="preserve">Lozère Développement à Mende</w:t>
      </w:r>
    </w:p>
    <w:p>
      <w:pPr>
        <w:pStyle w:val="Compact"/>
        <w:numPr>
          <w:numId w:val="1002"/>
          <w:ilvl w:val="0"/>
        </w:numPr>
      </w:pPr>
      <w:r>
        <w:t xml:space="preserve">Hautes-Pyrénées (65) :</w:t>
      </w:r>
    </w:p>
    <w:p>
      <w:pPr>
        <w:pStyle w:val="Compact"/>
        <w:numPr>
          <w:numId w:val="1012"/>
          <w:ilvl w:val="1"/>
        </w:numPr>
      </w:pPr>
      <w:r>
        <w:t xml:space="preserve">Communauté de Communes Neste Barousse à Saint-Laurent-de-Neste</w:t>
      </w:r>
    </w:p>
    <w:p>
      <w:pPr>
        <w:pStyle w:val="Compact"/>
        <w:numPr>
          <w:numId w:val="1002"/>
          <w:ilvl w:val="0"/>
        </w:numPr>
      </w:pPr>
      <w:r>
        <w:t xml:space="preserve">Pyrénées-Orientales (66) :</w:t>
      </w:r>
    </w:p>
    <w:p>
      <w:pPr>
        <w:pStyle w:val="Compact"/>
        <w:numPr>
          <w:numId w:val="1013"/>
          <w:ilvl w:val="1"/>
        </w:numPr>
      </w:pPr>
      <w:r>
        <w:t xml:space="preserve">Association ESSAIM</w:t>
      </w:r>
    </w:p>
    <w:p>
      <w:pPr>
        <w:pStyle w:val="FirstParagraph"/>
      </w:pPr>
      <w:r>
        <w:t xml:space="preserve">Consortium La Fabrique Catalane - Benvingut social club à Perpignan</w:t>
      </w:r>
      <w:r>
        <w:t xml:space="preserve"> </w:t>
      </w:r>
      <w:r>
        <w:t xml:space="preserve">* Association les 2 rives à Perpignan</w:t>
      </w:r>
      <w:r>
        <w:t xml:space="preserve"> </w:t>
      </w:r>
      <w:r>
        <w:t xml:space="preserve">* Tarn (81) :</w:t>
      </w:r>
      <w:r>
        <w:t xml:space="preserve"> </w:t>
      </w:r>
      <w:r>
        <w:t xml:space="preserve">* PETR des Hautes Terres d’Oc à Brassac</w:t>
      </w:r>
      <w:r>
        <w:t xml:space="preserve"> </w:t>
      </w:r>
      <w:r>
        <w:t xml:space="preserve">* Dénomination de la structure : Association Léo Lagrange de Graulhet</w:t>
      </w:r>
    </w:p>
    <w:p>
      <w:pPr>
        <w:pStyle w:val="Corpsdetexte"/>
      </w:pPr>
      <w:r>
        <w:t xml:space="preserve">à Graulhet</w:t>
      </w:r>
      <w:r>
        <w:t xml:space="preserve"> </w:t>
      </w:r>
      <w:r>
        <w:t xml:space="preserve">* Tarn-et-Garonne (82) :</w:t>
      </w:r>
      <w:r>
        <w:t xml:space="preserve"> </w:t>
      </w:r>
      <w:r>
        <w:t xml:space="preserve">* Communauté de communes QRGA à Saint-Antonin-Noble-Val</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15 dans la région :</w:t>
      </w:r>
    </w:p>
    <w:p>
      <w:pPr>
        <w:pStyle w:val="Compact"/>
        <w:numPr>
          <w:numId w:val="1014"/>
          <w:ilvl w:val="0"/>
        </w:numPr>
      </w:pPr>
      <w:r>
        <w:t xml:space="preserve">AGIR DURABLE 2.0 (Auch)</w:t>
      </w:r>
    </w:p>
    <w:p>
      <w:pPr>
        <w:pStyle w:val="Compact"/>
        <w:numPr>
          <w:numId w:val="1014"/>
          <w:ilvl w:val="0"/>
        </w:numPr>
      </w:pPr>
      <w:r>
        <w:t xml:space="preserve">Bordanova (Lahage)</w:t>
      </w:r>
    </w:p>
    <w:p>
      <w:pPr>
        <w:pStyle w:val="Compact"/>
        <w:numPr>
          <w:numId w:val="1014"/>
          <w:ilvl w:val="0"/>
        </w:numPr>
      </w:pPr>
      <w:r>
        <w:t xml:space="preserve">DESIGN NUMERIQUE &amp; ARTISANAT (DNA) (Caylus)</w:t>
      </w:r>
    </w:p>
    <w:p>
      <w:pPr>
        <w:pStyle w:val="Compact"/>
        <w:numPr>
          <w:numId w:val="1014"/>
          <w:ilvl w:val="0"/>
        </w:numPr>
      </w:pPr>
      <w:r>
        <w:t xml:space="preserve">L’ATTISOIR (Mende)</w:t>
      </w:r>
    </w:p>
    <w:p>
      <w:pPr>
        <w:pStyle w:val="Compact"/>
        <w:numPr>
          <w:numId w:val="1014"/>
          <w:ilvl w:val="0"/>
        </w:numPr>
      </w:pPr>
      <w:r>
        <w:t xml:space="preserve">LABAZ (Albas)</w:t>
      </w:r>
    </w:p>
    <w:p>
      <w:pPr>
        <w:pStyle w:val="Compact"/>
        <w:numPr>
          <w:numId w:val="1014"/>
          <w:ilvl w:val="0"/>
        </w:numPr>
      </w:pPr>
      <w:r>
        <w:t xml:space="preserve">La Manufacture Distribuée (Toulouse)</w:t>
      </w:r>
    </w:p>
    <w:p>
      <w:pPr>
        <w:pStyle w:val="Compact"/>
        <w:numPr>
          <w:numId w:val="1014"/>
          <w:ilvl w:val="0"/>
        </w:numPr>
      </w:pPr>
      <w:r>
        <w:t xml:space="preserve">La confectionnerie (Oust)</w:t>
      </w:r>
    </w:p>
    <w:p>
      <w:pPr>
        <w:pStyle w:val="Compact"/>
        <w:numPr>
          <w:numId w:val="1014"/>
          <w:ilvl w:val="0"/>
        </w:numPr>
      </w:pPr>
      <w:r>
        <w:t xml:space="preserve">La manufacture de Lourdes (Lourdes)</w:t>
      </w:r>
    </w:p>
    <w:p>
      <w:pPr>
        <w:pStyle w:val="Compact"/>
        <w:numPr>
          <w:numId w:val="1014"/>
          <w:ilvl w:val="0"/>
        </w:numPr>
      </w:pPr>
      <w:r>
        <w:t xml:space="preserve">Les Ateliers d’Ensales (La Bastide-de-Sérou)</w:t>
      </w:r>
    </w:p>
    <w:p>
      <w:pPr>
        <w:pStyle w:val="Compact"/>
        <w:numPr>
          <w:numId w:val="1014"/>
          <w:ilvl w:val="0"/>
        </w:numPr>
      </w:pPr>
      <w:r>
        <w:t xml:space="preserve">Maison des Technologies Paysannes d’Occitanie (Félines-Minervois)</w:t>
      </w:r>
    </w:p>
    <w:p>
      <w:pPr>
        <w:pStyle w:val="Compact"/>
        <w:numPr>
          <w:numId w:val="1014"/>
          <w:ilvl w:val="0"/>
        </w:numPr>
      </w:pPr>
      <w:r>
        <w:t xml:space="preserve">Manufacture Agroécologique de Proximité (Belberaud)</w:t>
      </w:r>
    </w:p>
    <w:p>
      <w:pPr>
        <w:pStyle w:val="Compact"/>
        <w:numPr>
          <w:numId w:val="1014"/>
          <w:ilvl w:val="0"/>
        </w:numPr>
      </w:pPr>
      <w:r>
        <w:t xml:space="preserve">Manufacture Occitane du Cycle (Sévérac d’Aveyron)</w:t>
      </w:r>
    </w:p>
    <w:p>
      <w:pPr>
        <w:pStyle w:val="Compact"/>
        <w:numPr>
          <w:numId w:val="1014"/>
          <w:ilvl w:val="0"/>
        </w:numPr>
      </w:pPr>
      <w:r>
        <w:t xml:space="preserve">R’Lab (Carcassonne)</w:t>
      </w:r>
    </w:p>
    <w:p>
      <w:pPr>
        <w:pStyle w:val="Compact"/>
        <w:numPr>
          <w:numId w:val="1014"/>
          <w:ilvl w:val="0"/>
        </w:numPr>
      </w:pPr>
      <w:r>
        <w:t xml:space="preserve">Tiers-lieu de la mode et des textiles responsables en Occitanie (Montpellier)</w:t>
      </w:r>
    </w:p>
    <w:p>
      <w:pPr>
        <w:pStyle w:val="Compact"/>
        <w:numPr>
          <w:numId w:val="1014"/>
          <w:ilvl w:val="0"/>
        </w:numPr>
      </w:pPr>
      <w:r>
        <w:t xml:space="preserve">VOLTE (Montpellier)</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Occitanie</w:t>
      </w:r>
      <w:r>
        <w:t xml:space="preserve"> </w:t>
      </w:r>
      <w:r>
        <w:t xml:space="preserve">est couverte</w:t>
      </w:r>
      <w:r>
        <w:t xml:space="preserve"> </w:t>
      </w:r>
      <w:r>
        <w:t xml:space="preserve">par le hub « RhinOcc »</w:t>
      </w:r>
      <w:r>
        <w:t xml:space="preserve"> </w:t>
      </w:r>
      <w:r>
        <w:t xml:space="preserve">n’est pas couverte par un hub</w:t>
      </w:r>
      <w:r>
        <w:t xml:space="preserve"> </w:t>
      </w:r>
      <w:r>
        <w:t xml:space="preserve">.</w:t>
      </w:r>
    </w:p>
    <w:p>
      <w:pPr>
        <w:pStyle w:val="Titre2"/>
      </w:pPr>
      <w:bookmarkStart w:id="26" w:name="conseillers-numériques"/>
      <w:r>
        <w:t xml:space="preserve">Conseillers numériques</w:t>
      </w:r>
      <w:bookmarkEnd w:id="26"/>
    </w:p>
    <w:p>
      <w:pPr>
        <w:pStyle w:val="Compact"/>
        <w:numPr>
          <w:numId w:val="1015"/>
          <w:ilvl w:val="0"/>
        </w:numPr>
      </w:pPr>
      <w:r>
        <w:t xml:space="preserve">427 CNFS validés dans 307 structures d’accueil</w:t>
      </w:r>
    </w:p>
    <w:p>
      <w:pPr>
        <w:pStyle w:val="Compact"/>
        <w:numPr>
          <w:numId w:val="1015"/>
          <w:ilvl w:val="0"/>
        </w:numPr>
      </w:pPr>
      <w:r>
        <w:t xml:space="preserve">373 CNFS recrutés</w:t>
      </w:r>
    </w:p>
    <w:p>
      <w:pPr>
        <w:pStyle w:val="Compact"/>
        <w:numPr>
          <w:numId w:val="1015"/>
          <w:ilvl w:val="0"/>
        </w:numPr>
      </w:pPr>
      <w:r>
        <w:t xml:space="preserve">7 CNFS en formation</w:t>
      </w:r>
    </w:p>
    <w:p>
      <w:pPr>
        <w:pStyle w:val="Compact"/>
        <w:numPr>
          <w:numId w:val="1015"/>
          <w:ilvl w:val="0"/>
        </w:numPr>
      </w:pPr>
      <w:r>
        <w:t xml:space="preserve">309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16"/>
          <w:ilvl w:val="0"/>
        </w:numPr>
      </w:pPr>
      <w:r>
        <w:t xml:space="preserve">505 structures candidates</w:t>
      </w:r>
    </w:p>
    <w:p>
      <w:pPr>
        <w:pStyle w:val="Compact"/>
        <w:numPr>
          <w:numId w:val="1016"/>
          <w:ilvl w:val="0"/>
        </w:numPr>
      </w:pPr>
      <w:r>
        <w:t xml:space="preserve">1628 aidants à habiliter au total</w:t>
      </w:r>
    </w:p>
    <w:p>
      <w:pPr>
        <w:pStyle w:val="Compact"/>
        <w:numPr>
          <w:numId w:val="1016"/>
          <w:ilvl w:val="0"/>
        </w:numPr>
      </w:pPr>
      <w:r>
        <w:t xml:space="preserve">477 structures ont finalisé leur habilitation (1457 aidants formés au 16 septembre 2024)</w:t>
      </w:r>
    </w:p>
    <w:p>
      <w:pPr>
        <w:pStyle w:val="Titre2"/>
      </w:pPr>
      <w:bookmarkStart w:id="28" w:name="bases-adresses-locales"/>
      <w:r>
        <w:t xml:space="preserve">Bases adresses locales</w:t>
      </w:r>
      <w:bookmarkEnd w:id="28"/>
    </w:p>
    <w:p>
      <w:pPr>
        <w:pStyle w:val="FirstParagraph"/>
      </w:pPr>
      <w:r>
        <w:t xml:space="preserve">3016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17"/>
          <w:ilvl w:val="0"/>
        </w:numPr>
      </w:pPr>
      <w:r>
        <w:t xml:space="preserve">Aidants Connect : dernière mise à jour 16 septembre 2024</w:t>
      </w:r>
    </w:p>
    <w:p>
      <w:pPr>
        <w:pStyle w:val="Compact"/>
        <w:numPr>
          <w:numId w:val="1017"/>
          <w:ilvl w:val="0"/>
        </w:numPr>
      </w:pPr>
      <w:r>
        <w:t xml:space="preserve">Arcep – Technologies par commune : dernière mise à jour 05 avril 2024</w:t>
      </w:r>
    </w:p>
    <w:p>
      <w:pPr>
        <w:pStyle w:val="Compact"/>
        <w:numPr>
          <w:numId w:val="1017"/>
          <w:ilvl w:val="0"/>
        </w:numPr>
      </w:pPr>
      <w:r>
        <w:t xml:space="preserve">Conseillers numériques : dernière mise à jour 19 septembre 2024</w:t>
      </w:r>
    </w:p>
    <w:p>
      <w:pPr>
        <w:pStyle w:val="Compact"/>
        <w:numPr>
          <w:numId w:val="1017"/>
          <w:ilvl w:val="0"/>
        </w:numPr>
      </w:pPr>
      <w:r>
        <w:t xml:space="preserve">Fabriques de Territoire : dernière mise à jour 12 septembre 2024</w:t>
      </w:r>
    </w:p>
    <w:p>
      <w:pPr>
        <w:pStyle w:val="Compact"/>
        <w:numPr>
          <w:numId w:val="1017"/>
          <w:ilvl w:val="0"/>
        </w:numPr>
      </w:pPr>
      <w:r>
        <w:t xml:space="preserve">France Mobile : dernière mise à jour 31 mai 2024</w:t>
      </w:r>
    </w:p>
    <w:p>
      <w:pPr>
        <w:pStyle w:val="Compact"/>
        <w:numPr>
          <w:numId w:val="1017"/>
          <w:ilvl w:val="0"/>
        </w:numPr>
      </w:pPr>
      <w:r>
        <w:t xml:space="preserve">Hubs territoriaux</w:t>
      </w:r>
    </w:p>
    <w:p>
      <w:pPr>
        <w:pStyle w:val="Compact"/>
        <w:numPr>
          <w:numId w:val="1017"/>
          <w:ilvl w:val="0"/>
        </w:numPr>
      </w:pPr>
      <w:r>
        <w:t xml:space="preserve">Manufactures de proximité : dernière mise à jour 12 septembre 2024</w:t>
      </w:r>
    </w:p>
    <w:p>
      <w:pPr>
        <w:pStyle w:val="Compact"/>
        <w:numPr>
          <w:numId w:val="1017"/>
          <w:ilvl w:val="0"/>
        </w:numPr>
      </w:pPr>
      <w:r>
        <w:t xml:space="preserve">Structures d’accueil conseillers numériques : dernière mise à jour 19 septembre 2024</w:t>
      </w:r>
    </w:p>
    <w:p>
      <w:pPr>
        <w:pStyle w:val="Compact"/>
        <w:numPr>
          <w:numId w:val="1017"/>
          <w:ilvl w:val="0"/>
        </w:numPr>
      </w:pPr>
      <w:r>
        <w:t xml:space="preserve">Suivi Bases adresses locales</w:t>
      </w:r>
    </w:p>
    <w:p>
      <w:pPr>
        <w:pStyle w:val="Compact"/>
        <w:numPr>
          <w:numId w:val="1017"/>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2024-09-19T02:17:31Z</dcterms:created>
  <dcterms:modified xsi:type="dcterms:W3CDTF">2024-09-19T02:17:31Z</dcterms:modified>
</cp:coreProperties>
</file>

<file path=docProps/custom.xml><?xml version="1.0" encoding="utf-8"?>
<Properties xmlns="http://schemas.openxmlformats.org/officeDocument/2006/custom-properties" xmlns:vt="http://schemas.openxmlformats.org/officeDocument/2006/docPropsVTypes"/>
</file>