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r>
        <w:t xml:space="preserve"> </w:t>
      </w:r>
      <w:r>
        <w:t xml:space="preserve">Veuillez favoriser cette interface plutôt que les fiches au format word qui ne sont plus maintenues et seront supprimées dans quelques mois.</w:t>
      </w:r>
    </w:p>
    <w:p>
      <w:pPr>
        <w:pStyle w:val="Titre1"/>
      </w:pPr>
      <w:bookmarkStart w:id="20" w:name="numérique-bretagne"/>
      <w:r>
        <w:t xml:space="preserve">Numérique « Bretagne »</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Bretagne, 155 sites ont été identifiés,</w:t>
      </w:r>
      <w:r>
        <w:t xml:space="preserve"> </w:t>
      </w:r>
      <w:r>
        <w:t xml:space="preserve">parmi lesquels 103 ont d’ores et déjà été mis en service.</w:t>
      </w:r>
    </w:p>
    <w:p>
      <w:pPr>
        <w:pStyle w:val="Corpsdetexte"/>
      </w:pPr>
      <w:r>
        <w:t xml:space="preserve">Dans le cadre du dispositif 4G fixe, dans la région Bretagne,</w:t>
      </w:r>
      <w:r>
        <w:t xml:space="preserve"> </w:t>
      </w:r>
      <w:r>
        <w:t xml:space="preserve">124 sites ont été identifiés,</w:t>
      </w:r>
      <w:r>
        <w:t xml:space="preserve"> </w:t>
      </w:r>
      <w:r>
        <w:t xml:space="preserve">et 76 ont déjà été mis en service.</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la région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de la région à horizon 2022.</w:t>
      </w:r>
    </w:p>
    <w:p>
      <w:pPr>
        <w:pStyle w:val="Corpsdetexte"/>
      </w:pPr>
      <w:r>
        <w:t xml:space="preserve">Le déploiement de la fibre optique jusqu’à l’abonné (FttH) sur le territoire</w:t>
      </w:r>
      <w:r>
        <w:t xml:space="preserve"> </w:t>
      </w:r>
      <w:r>
        <w:t xml:space="preserve">est, quant à lui, assuré par 3 initiatives complémentaires :</w:t>
      </w:r>
    </w:p>
    <w:p>
      <w:pPr>
        <w:pStyle w:val="Compact"/>
        <w:numPr>
          <w:numId w:val="1001"/>
          <w:ilvl w:val="0"/>
        </w:numPr>
      </w:pPr>
      <w:r>
        <w:t xml:space="preserve">L’initiative privée des opérateurs dans la zone très dense, qui comprend 1 communes ;</w:t>
      </w:r>
    </w:p>
    <w:p>
      <w:pPr>
        <w:pStyle w:val="Compact"/>
        <w:numPr>
          <w:numId w:val="1001"/>
          <w:ilvl w:val="0"/>
        </w:numPr>
      </w:pPr>
      <w:r>
        <w:t xml:space="preserve">celle de Orange et XP Fibre sur 142 communes ;</w:t>
      </w:r>
    </w:p>
    <w:p>
      <w:pPr>
        <w:pStyle w:val="Compact"/>
        <w:numPr>
          <w:numId w:val="1001"/>
          <w:ilvl w:val="0"/>
        </w:numPr>
      </w:pPr>
      <w:r>
        <w:t xml:space="preserve">celle de Mégalis Bretagne dans la zone d’initiative publique qui comprend 1063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Très Dense</w:t>
            </w:r>
          </w:p>
        </w:tc>
        <w:tc>
          <w:p>
            <w:pPr>
              <w:pStyle w:val="Compact"/>
              <w:jc w:val="left"/>
            </w:pPr>
            <w:r>
              <w:t xml:space="preserve">161 437</w:t>
            </w:r>
            <w:r>
              <w:t xml:space="preserve"> </w:t>
            </w:r>
            <w:r>
              <w:rPr>
                <w:i/>
              </w:rPr>
              <w:t xml:space="preserve">7.0%</w:t>
            </w:r>
          </w:p>
        </w:tc>
        <w:tc>
          <w:p>
            <w:pPr>
              <w:pStyle w:val="Compact"/>
              <w:jc w:val="left"/>
            </w:pPr>
            <w:r>
              <w:t xml:space="preserve">152 712</w:t>
            </w:r>
            <w:r>
              <w:t xml:space="preserve"> </w:t>
            </w:r>
            <w:r>
              <w:rPr>
                <w:i/>
              </w:rPr>
              <w:t xml:space="preserve">95.0%</w:t>
            </w:r>
          </w:p>
        </w:tc>
      </w:tr>
      <w:tr>
        <w:tc>
          <w:p>
            <w:pPr>
              <w:pStyle w:val="Compact"/>
              <w:jc w:val="left"/>
            </w:pPr>
            <w:r>
              <w:t xml:space="preserve">Zone AMII</w:t>
            </w:r>
          </w:p>
        </w:tc>
        <w:tc>
          <w:p>
            <w:pPr>
              <w:pStyle w:val="Compact"/>
              <w:jc w:val="left"/>
            </w:pPr>
            <w:r>
              <w:t xml:space="preserve">852 940</w:t>
            </w:r>
            <w:r>
              <w:t xml:space="preserve"> </w:t>
            </w:r>
            <w:r>
              <w:rPr>
                <w:i/>
              </w:rPr>
              <w:t xml:space="preserve">36.0%</w:t>
            </w:r>
          </w:p>
        </w:tc>
        <w:tc>
          <w:p>
            <w:pPr>
              <w:pStyle w:val="Compact"/>
              <w:jc w:val="left"/>
            </w:pPr>
            <w:r>
              <w:t xml:space="preserve">788 189</w:t>
            </w:r>
            <w:r>
              <w:t xml:space="preserve"> </w:t>
            </w:r>
            <w:r>
              <w:rPr>
                <w:i/>
              </w:rPr>
              <w:t xml:space="preserve">92.0%</w:t>
            </w:r>
          </w:p>
        </w:tc>
      </w:tr>
      <w:tr>
        <w:tc>
          <w:p>
            <w:pPr>
              <w:pStyle w:val="Compact"/>
              <w:jc w:val="left"/>
            </w:pPr>
            <w:r>
              <w:t xml:space="preserve">Zone RIP</w:t>
            </w:r>
          </w:p>
        </w:tc>
        <w:tc>
          <w:p>
            <w:pPr>
              <w:pStyle w:val="Compact"/>
              <w:jc w:val="left"/>
            </w:pPr>
            <w:r>
              <w:t xml:space="preserve">1 364 197</w:t>
            </w:r>
            <w:r>
              <w:t xml:space="preserve"> </w:t>
            </w:r>
            <w:r>
              <w:rPr>
                <w:i/>
              </w:rPr>
              <w:t xml:space="preserve">57.0%</w:t>
            </w:r>
          </w:p>
        </w:tc>
        <w:tc>
          <w:p>
            <w:pPr>
              <w:pStyle w:val="Compact"/>
              <w:jc w:val="left"/>
            </w:pPr>
            <w:r>
              <w:t xml:space="preserve">573 997</w:t>
            </w:r>
            <w:r>
              <w:t xml:space="preserve"> </w:t>
            </w:r>
            <w:r>
              <w:rPr>
                <w:i/>
              </w:rPr>
              <w:t xml:space="preserve">42.0%</w:t>
            </w:r>
          </w:p>
        </w:tc>
      </w:tr>
      <w:tr>
        <w:tc>
          <w:p>
            <w:pPr>
              <w:pStyle w:val="Compact"/>
              <w:jc w:val="left"/>
            </w:pPr>
            <w:r>
              <w:rPr>
                <w:b/>
              </w:rPr>
              <w:t xml:space="preserve">Total</w:t>
            </w:r>
          </w:p>
        </w:tc>
        <w:tc>
          <w:p>
            <w:pPr>
              <w:pStyle w:val="Compact"/>
              <w:jc w:val="left"/>
            </w:pPr>
            <w:r>
              <w:t xml:space="preserve">2 378 574</w:t>
            </w:r>
            <w:r>
              <w:t xml:space="preserve"> </w:t>
            </w:r>
            <w:r>
              <w:rPr>
                <w:i/>
              </w:rPr>
              <w:t xml:space="preserve">100%</w:t>
            </w:r>
          </w:p>
        </w:tc>
        <w:tc>
          <w:p>
            <w:pPr>
              <w:pStyle w:val="Compact"/>
              <w:jc w:val="left"/>
            </w:pPr>
            <w:r>
              <w:t xml:space="preserve">1 514 898</w:t>
            </w:r>
            <w:r>
              <w:t xml:space="preserve"> </w:t>
            </w:r>
            <w:r>
              <w:rPr>
                <w:i/>
              </w:rPr>
              <w:t xml:space="preserve">64.0%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XX départements.</w:t>
      </w:r>
    </w:p>
    <w:p>
      <w:pPr>
        <w:pStyle w:val="Titre2"/>
      </w:pPr>
      <w:bookmarkStart w:id="23" w:name="fabriques-numériques"/>
      <w:r>
        <w:t xml:space="preserve">Fabriques numériques</w:t>
      </w:r>
      <w:bookmarkEnd w:id="23"/>
    </w:p>
    <w:p>
      <w:pPr>
        <w:pStyle w:val="FirstParagraph"/>
      </w:pPr>
      <w:r>
        <w:t xml:space="preserve">300 fabriques ont déjà été retenues au titre de</w:t>
      </w:r>
      <w:r>
        <w:t xml:space="preserve"> </w:t>
      </w:r>
      <w:r>
        <w:t xml:space="preserve">l’AMI, dont 19 en région Bretagne :</w:t>
      </w:r>
    </w:p>
    <w:p>
      <w:pPr>
        <w:pStyle w:val="Compact"/>
        <w:numPr>
          <w:numId w:val="1002"/>
          <w:ilvl w:val="0"/>
        </w:numPr>
      </w:pPr>
      <w:r>
        <w:t xml:space="preserve">Côtes-d’Armor (22) :</w:t>
      </w:r>
    </w:p>
    <w:p>
      <w:pPr>
        <w:pStyle w:val="Compact"/>
        <w:numPr>
          <w:numId w:val="1003"/>
          <w:ilvl w:val="1"/>
        </w:numPr>
      </w:pPr>
      <w:r>
        <w:t xml:space="preserve">La Convergence des Loutres à Loguivy-Plougras</w:t>
      </w:r>
    </w:p>
    <w:p>
      <w:pPr>
        <w:pStyle w:val="Compact"/>
        <w:numPr>
          <w:numId w:val="1003"/>
          <w:ilvl w:val="1"/>
        </w:numPr>
      </w:pPr>
      <w:r>
        <w:t xml:space="preserve">Association Chez Yvonne, représentant du Tiers-Lieu #ChezYvonne à Moncontour</w:t>
      </w:r>
    </w:p>
    <w:p>
      <w:pPr>
        <w:pStyle w:val="Compact"/>
        <w:numPr>
          <w:numId w:val="1003"/>
          <w:ilvl w:val="1"/>
        </w:numPr>
      </w:pPr>
      <w:r>
        <w:t xml:space="preserve">Association enregistrée sous le nom LAB’innovation LTM</w:t>
      </w:r>
      <w:r>
        <w:t xml:space="preserve"> </w:t>
      </w:r>
      <w:r>
        <w:t xml:space="preserve">Nous utilisons le nom DIX7 pour communiquer à Plestan</w:t>
      </w:r>
    </w:p>
    <w:p>
      <w:pPr>
        <w:pStyle w:val="Compact"/>
        <w:numPr>
          <w:numId w:val="1003"/>
          <w:ilvl w:val="1"/>
        </w:numPr>
      </w:pPr>
      <w:r>
        <w:t xml:space="preserve">Ecocentre Trégor Association Spered All à Pleumeur-Bodou</w:t>
      </w:r>
    </w:p>
    <w:p>
      <w:pPr>
        <w:pStyle w:val="Compact"/>
        <w:numPr>
          <w:numId w:val="1003"/>
          <w:ilvl w:val="1"/>
        </w:numPr>
      </w:pPr>
      <w:r>
        <w:t xml:space="preserve">Communauté de Communes du Kreiz-Breizh à Rostrenen</w:t>
      </w:r>
    </w:p>
    <w:p>
      <w:pPr>
        <w:pStyle w:val="Compact"/>
        <w:numPr>
          <w:numId w:val="1003"/>
          <w:ilvl w:val="1"/>
        </w:numPr>
      </w:pPr>
      <w:r>
        <w:t xml:space="preserve">CCI 22 à Saint-Brieuc</w:t>
      </w:r>
    </w:p>
    <w:p>
      <w:pPr>
        <w:pStyle w:val="Compact"/>
        <w:numPr>
          <w:numId w:val="1002"/>
          <w:ilvl w:val="0"/>
        </w:numPr>
      </w:pPr>
      <w:r>
        <w:t xml:space="preserve">Finistère (29) :</w:t>
      </w:r>
    </w:p>
    <w:p>
      <w:pPr>
        <w:pStyle w:val="Compact"/>
        <w:numPr>
          <w:numId w:val="1004"/>
          <w:ilvl w:val="1"/>
        </w:numPr>
      </w:pPr>
      <w:r>
        <w:t xml:space="preserve">Association d’animation des Ateliers Jean Moulin à Audierne</w:t>
      </w:r>
    </w:p>
    <w:p>
      <w:pPr>
        <w:pStyle w:val="Compact"/>
        <w:numPr>
          <w:numId w:val="1004"/>
          <w:ilvl w:val="1"/>
        </w:numPr>
      </w:pPr>
      <w:r>
        <w:t xml:space="preserve">Le Lieu-Dit, Pôle de Coopération et d’Innovations Economiques et Sociales du Pays de Brest, porte ce projet. Ses 10 structures membres sont également impliquées dans ce projet : 9 associations (ADESS Pays de Brest - Heol Monnaie locale - BaPaV - La Recyclerie Un Peu d’R - Les Petits Débrouillards de Bretagne &amp; Les Fabriques du Ponant - Vert le Jardin - La Maison de l’Alimentation Durable Madabrest - Les Partageurs - Le Collectif pour une Transition Citoyenne en Pays de Brest) et une Coopérative d’Activité et d’Emploi (Chrysalide, de la CAE 29). à Brest</w:t>
      </w:r>
    </w:p>
    <w:p>
      <w:pPr>
        <w:pStyle w:val="Compact"/>
        <w:numPr>
          <w:numId w:val="1004"/>
          <w:ilvl w:val="1"/>
        </w:numPr>
      </w:pPr>
      <w:r>
        <w:t xml:space="preserve">Konk Ar Lab, Le FabLab de la Baie à Concarneau</w:t>
      </w:r>
    </w:p>
    <w:p>
      <w:pPr>
        <w:pStyle w:val="Compact"/>
        <w:numPr>
          <w:numId w:val="1004"/>
          <w:ilvl w:val="1"/>
        </w:numPr>
      </w:pPr>
      <w:r>
        <w:t xml:space="preserve">Ribine à Irvillac</w:t>
      </w:r>
    </w:p>
    <w:p>
      <w:pPr>
        <w:pStyle w:val="Compact"/>
        <w:numPr>
          <w:numId w:val="1004"/>
          <w:ilvl w:val="1"/>
        </w:numPr>
      </w:pPr>
      <w:r>
        <w:t xml:space="preserve">BIGOUDEN MAKERS sas - BIGS association Loi 1901 (en constitution) à Plobannalec-Lesconil</w:t>
      </w:r>
    </w:p>
    <w:p>
      <w:pPr>
        <w:pStyle w:val="Compact"/>
        <w:numPr>
          <w:numId w:val="1002"/>
          <w:ilvl w:val="0"/>
        </w:numPr>
      </w:pPr>
      <w:r>
        <w:t xml:space="preserve">Ille-et-Vilaine (35) :</w:t>
      </w:r>
    </w:p>
    <w:p>
      <w:pPr>
        <w:pStyle w:val="Compact"/>
        <w:numPr>
          <w:numId w:val="1005"/>
          <w:ilvl w:val="1"/>
        </w:numPr>
      </w:pPr>
      <w:r>
        <w:t xml:space="preserve">Le Ruisseau Ar Wazh (bientôt Le Ruisseau Coopérative) à Epiniac</w:t>
      </w:r>
    </w:p>
    <w:p>
      <w:pPr>
        <w:pStyle w:val="Compact"/>
        <w:numPr>
          <w:numId w:val="1005"/>
          <w:ilvl w:val="1"/>
        </w:numPr>
      </w:pPr>
      <w:r>
        <w:t xml:space="preserve">ESS CARGO &amp; CIE à Rennes</w:t>
      </w:r>
    </w:p>
    <w:p>
      <w:pPr>
        <w:pStyle w:val="Compact"/>
        <w:numPr>
          <w:numId w:val="1005"/>
          <w:ilvl w:val="1"/>
        </w:numPr>
      </w:pPr>
      <w:r>
        <w:t xml:space="preserve">Les Cols Verts Rennes à Rennes</w:t>
      </w:r>
    </w:p>
    <w:p>
      <w:pPr>
        <w:pStyle w:val="Compact"/>
        <w:numPr>
          <w:numId w:val="1005"/>
          <w:ilvl w:val="1"/>
        </w:numPr>
      </w:pPr>
      <w:r>
        <w:t xml:space="preserve">Rennes Métropole à Rennes</w:t>
      </w:r>
    </w:p>
    <w:p>
      <w:pPr>
        <w:pStyle w:val="Compact"/>
        <w:numPr>
          <w:numId w:val="1002"/>
          <w:ilvl w:val="0"/>
        </w:numPr>
      </w:pPr>
      <w:r>
        <w:t xml:space="preserve">Morbihan (56) :</w:t>
      </w:r>
    </w:p>
    <w:p>
      <w:pPr>
        <w:pStyle w:val="Compact"/>
        <w:numPr>
          <w:numId w:val="1006"/>
          <w:ilvl w:val="1"/>
        </w:numPr>
      </w:pPr>
      <w:r>
        <w:t xml:space="preserve">L’Argonaute &amp;Co à Auray</w:t>
      </w:r>
    </w:p>
    <w:p>
      <w:pPr>
        <w:pStyle w:val="Compact"/>
        <w:numPr>
          <w:numId w:val="1006"/>
          <w:ilvl w:val="1"/>
        </w:numPr>
      </w:pPr>
      <w:r>
        <w:t xml:space="preserve">Dans L’ensemble à Baud</w:t>
      </w:r>
    </w:p>
    <w:p>
      <w:pPr>
        <w:pStyle w:val="Compact"/>
        <w:numPr>
          <w:numId w:val="1006"/>
          <w:ilvl w:val="1"/>
        </w:numPr>
      </w:pPr>
      <w:r>
        <w:t xml:space="preserve">Maison Glaz à Gâvres</w:t>
      </w:r>
    </w:p>
    <w:p>
      <w:pPr>
        <w:pStyle w:val="Compact"/>
        <w:numPr>
          <w:numId w:val="1006"/>
          <w:ilvl w:val="1"/>
        </w:numPr>
      </w:pPr>
      <w:r>
        <w:t xml:space="preserve">Départ imminent pour l’hôtel de la gare à Hennebont</w:t>
      </w:r>
    </w:p>
    <w:p>
      <w:pPr>
        <w:pStyle w:val="Titre2"/>
      </w:pPr>
      <w:bookmarkStart w:id="24" w:name="manufactures-de-proximité"/>
      <w:r>
        <w:t xml:space="preserve">Manufactures de proximité</w:t>
      </w:r>
      <w:bookmarkEnd w:id="24"/>
    </w:p>
    <w:p>
      <w:pPr>
        <w:pStyle w:val="FirstParagraph"/>
      </w:pPr>
      <w:r>
        <w:t xml:space="preserve">L’AMI Manufactures de proximité a été lancé le 7 octobre 2021, pour une clôture définitive le 3 mars 2022.</w:t>
      </w:r>
    </w:p>
    <w:p>
      <w:pPr>
        <w:pStyle w:val="Corpsdetexte"/>
      </w:pPr>
      <w:r>
        <w:t xml:space="preserve">À date (12 septembre 2024), ce sont 99 Manufactures de proximité qui ont été labellisées, dont 5 dans la région :</w:t>
      </w:r>
    </w:p>
    <w:p>
      <w:pPr>
        <w:pStyle w:val="Compact"/>
        <w:numPr>
          <w:numId w:val="1007"/>
          <w:ilvl w:val="0"/>
        </w:numPr>
      </w:pPr>
      <w:r>
        <w:t xml:space="preserve">Comme Un Établi (Rennes)</w:t>
      </w:r>
    </w:p>
    <w:p>
      <w:pPr>
        <w:pStyle w:val="Compact"/>
        <w:numPr>
          <w:numId w:val="1007"/>
          <w:ilvl w:val="0"/>
        </w:numPr>
      </w:pPr>
      <w:r>
        <w:t xml:space="preserve">LES MADY : Maisons d’Alimentation et d’Activités Durables Interprofessionnelles et Intergénérationnelles (Lorient)</w:t>
      </w:r>
    </w:p>
    <w:p>
      <w:pPr>
        <w:pStyle w:val="Compact"/>
        <w:numPr>
          <w:numId w:val="1007"/>
          <w:ilvl w:val="0"/>
        </w:numPr>
      </w:pPr>
      <w:r>
        <w:t xml:space="preserve">La Manufacture Alréenne (Crach)</w:t>
      </w:r>
    </w:p>
    <w:p>
      <w:pPr>
        <w:pStyle w:val="Compact"/>
        <w:numPr>
          <w:numId w:val="1007"/>
          <w:ilvl w:val="0"/>
        </w:numPr>
      </w:pPr>
      <w:r>
        <w:t xml:space="preserve">La Manufacture des jeunes pousses (Epiniac)</w:t>
      </w:r>
    </w:p>
    <w:p>
      <w:pPr>
        <w:pStyle w:val="Compact"/>
        <w:numPr>
          <w:numId w:val="1007"/>
          <w:ilvl w:val="0"/>
        </w:numPr>
      </w:pPr>
      <w:r>
        <w:t xml:space="preserve">MAINE (Plouhinec)</w:t>
      </w:r>
    </w:p>
    <w:p>
      <w:pPr>
        <w:pStyle w:val="Titre2"/>
      </w:pPr>
      <w:bookmarkStart w:id="25" w:name="hubs-territoriaux"/>
      <w:r>
        <w:t xml:space="preserve">Hubs Territoriaux</w:t>
      </w:r>
      <w:bookmarkEnd w:id="25"/>
    </w:p>
    <w:p>
      <w:pPr>
        <w:pStyle w:val="FirstParagraph"/>
      </w:pPr>
      <w:r>
        <w:t xml:space="preserve">La totalité du territoire est couverte en hubs.</w:t>
      </w:r>
    </w:p>
    <w:p>
      <w:pPr>
        <w:pStyle w:val="Corpsdetexte"/>
      </w:pPr>
      <w:r>
        <w:t xml:space="preserve">La région Bretagne</w:t>
      </w:r>
      <w:r>
        <w:t xml:space="preserve"> </w:t>
      </w:r>
      <w:r>
        <w:t xml:space="preserve">est couverte</w:t>
      </w:r>
      <w:r>
        <w:t xml:space="preserve"> </w:t>
      </w:r>
      <w:r>
        <w:t xml:space="preserve">par le hub « Bretagne »</w:t>
      </w:r>
      <w:r>
        <w:t xml:space="preserve"> </w:t>
      </w:r>
      <w:r>
        <w:t xml:space="preserve">n’est pas couverte par un hub</w:t>
      </w:r>
      <w:r>
        <w:t xml:space="preserve"> </w:t>
      </w:r>
      <w:r>
        <w:t xml:space="preserve">.</w:t>
      </w:r>
    </w:p>
    <w:p>
      <w:pPr>
        <w:pStyle w:val="Titre2"/>
      </w:pPr>
      <w:bookmarkStart w:id="26" w:name="conseillers-numériques"/>
      <w:r>
        <w:t xml:space="preserve">Conseillers numériques</w:t>
      </w:r>
      <w:bookmarkEnd w:id="26"/>
    </w:p>
    <w:p>
      <w:pPr>
        <w:pStyle w:val="Compact"/>
        <w:numPr>
          <w:numId w:val="1008"/>
          <w:ilvl w:val="0"/>
        </w:numPr>
      </w:pPr>
      <w:r>
        <w:t xml:space="preserve">180 CNFS validés dans 145 structures d’accueil</w:t>
      </w:r>
    </w:p>
    <w:p>
      <w:pPr>
        <w:pStyle w:val="Compact"/>
        <w:numPr>
          <w:numId w:val="1008"/>
          <w:ilvl w:val="0"/>
        </w:numPr>
      </w:pPr>
      <w:r>
        <w:t xml:space="preserve">162 CNFS recrutés</w:t>
      </w:r>
    </w:p>
    <w:p>
      <w:pPr>
        <w:pStyle w:val="Compact"/>
        <w:numPr>
          <w:numId w:val="1008"/>
          <w:ilvl w:val="0"/>
        </w:numPr>
      </w:pPr>
      <w:r>
        <w:t xml:space="preserve">1 CNFS en formation</w:t>
      </w:r>
    </w:p>
    <w:p>
      <w:pPr>
        <w:pStyle w:val="Compact"/>
        <w:numPr>
          <w:numId w:val="1008"/>
          <w:ilvl w:val="0"/>
        </w:numPr>
      </w:pPr>
      <w:r>
        <w:t xml:space="preserve">141 CNFS en poste</w:t>
      </w:r>
    </w:p>
    <w:p>
      <w:pPr>
        <w:pStyle w:val="Titre2"/>
      </w:pPr>
      <w:bookmarkStart w:id="27" w:name="aidants-connect"/>
      <w:r>
        <w:t xml:space="preserve">Aidants connect</w:t>
      </w:r>
      <w:bookmarkEnd w:id="27"/>
    </w:p>
    <w:p>
      <w:pPr>
        <w:pStyle w:val="FirstParagraph"/>
      </w:pPr>
      <w:r>
        <w:t xml:space="preserve">Aidants connect est un service public numérique qui sécurise et facilite le</w:t>
      </w:r>
      <w:r>
        <w:t xml:space="preserve"> </w:t>
      </w:r>
      <w:r>
        <w:t xml:space="preserve">« faire pour le compte de ». Il est notamment déployé auprès des</w:t>
      </w:r>
      <w:r>
        <w:t xml:space="preserve"> </w:t>
      </w:r>
      <w:r>
        <w:t xml:space="preserve">travailleurs sociaux, les agents publics d’accueil ou les médiateurs</w:t>
      </w:r>
      <w:r>
        <w:t xml:space="preserve"> </w:t>
      </w:r>
      <w:r>
        <w:t xml:space="preserve">numériques pour accompagner les citoyens qui n’arrivent pas à faire seuls</w:t>
      </w:r>
      <w:r>
        <w:t xml:space="preserve"> </w:t>
      </w:r>
      <w:r>
        <w:t xml:space="preserve">leurs démarches administratives en ligne.</w:t>
      </w:r>
    </w:p>
    <w:p>
      <w:pPr>
        <w:pStyle w:val="Corpsdetexte"/>
      </w:pPr>
      <w:r>
        <w:t xml:space="preserve">État des déploiements dans la région :</w:t>
      </w:r>
    </w:p>
    <w:p>
      <w:pPr>
        <w:pStyle w:val="Compact"/>
        <w:numPr>
          <w:numId w:val="1009"/>
          <w:ilvl w:val="0"/>
        </w:numPr>
      </w:pPr>
      <w:r>
        <w:t xml:space="preserve">285 structures candidates</w:t>
      </w:r>
    </w:p>
    <w:p>
      <w:pPr>
        <w:pStyle w:val="Compact"/>
        <w:numPr>
          <w:numId w:val="1009"/>
          <w:ilvl w:val="0"/>
        </w:numPr>
      </w:pPr>
      <w:r>
        <w:t xml:space="preserve">712 aidants à habiliter au total</w:t>
      </w:r>
    </w:p>
    <w:p>
      <w:pPr>
        <w:pStyle w:val="Compact"/>
        <w:numPr>
          <w:numId w:val="1009"/>
          <w:ilvl w:val="0"/>
        </w:numPr>
      </w:pPr>
      <w:r>
        <w:t xml:space="preserve">278 structures ont finalisé leur habilitation (653 aidants formés au 16 septembre 2024)</w:t>
      </w:r>
    </w:p>
    <w:p>
      <w:pPr>
        <w:pStyle w:val="Titre2"/>
      </w:pPr>
      <w:bookmarkStart w:id="28" w:name="bases-adresses-locales"/>
      <w:r>
        <w:t xml:space="preserve">Bases adresses locales</w:t>
      </w:r>
      <w:bookmarkEnd w:id="28"/>
    </w:p>
    <w:p>
      <w:pPr>
        <w:pStyle w:val="FirstParagraph"/>
      </w:pPr>
      <w:r>
        <w:t xml:space="preserve">982 communes de la région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29" w:name="fraîcheur-des-données"/>
      <w:r>
        <w:t xml:space="preserve">Fraîcheur des données</w:t>
      </w:r>
      <w:bookmarkEnd w:id="29"/>
    </w:p>
    <w:p>
      <w:pPr>
        <w:pStyle w:val="FirstParagraph"/>
      </w:pPr>
      <w:r>
        <w:t xml:space="preserve">Fiche générée le 19 septembre 2024 à 04:17.</w:t>
      </w:r>
    </w:p>
    <w:p>
      <w:pPr>
        <w:pStyle w:val="Corpsdetexte"/>
      </w:pPr>
      <w:r>
        <w:t xml:space="preserve">Les sources de données suivantes ont été utilisées :</w:t>
      </w:r>
    </w:p>
    <w:p>
      <w:pPr>
        <w:pStyle w:val="Compact"/>
        <w:numPr>
          <w:numId w:val="1010"/>
          <w:ilvl w:val="0"/>
        </w:numPr>
      </w:pPr>
      <w:r>
        <w:t xml:space="preserve">Aidants Connect : dernière mise à jour 16 septembre 2024</w:t>
      </w:r>
    </w:p>
    <w:p>
      <w:pPr>
        <w:pStyle w:val="Compact"/>
        <w:numPr>
          <w:numId w:val="1010"/>
          <w:ilvl w:val="0"/>
        </w:numPr>
      </w:pPr>
      <w:r>
        <w:t xml:space="preserve">Arcep – Technologies par commune : dernière mise à jour 05 avril 2024</w:t>
      </w:r>
    </w:p>
    <w:p>
      <w:pPr>
        <w:pStyle w:val="Compact"/>
        <w:numPr>
          <w:numId w:val="1010"/>
          <w:ilvl w:val="0"/>
        </w:numPr>
      </w:pPr>
      <w:r>
        <w:t xml:space="preserve">Conseillers numériques : dernière mise à jour 19 septembre 2024</w:t>
      </w:r>
    </w:p>
    <w:p>
      <w:pPr>
        <w:pStyle w:val="Compact"/>
        <w:numPr>
          <w:numId w:val="1010"/>
          <w:ilvl w:val="0"/>
        </w:numPr>
      </w:pPr>
      <w:r>
        <w:t xml:space="preserve">Fabriques de Territoire : dernière mise à jour 12 septembre 2024</w:t>
      </w:r>
    </w:p>
    <w:p>
      <w:pPr>
        <w:pStyle w:val="Compact"/>
        <w:numPr>
          <w:numId w:val="1010"/>
          <w:ilvl w:val="0"/>
        </w:numPr>
      </w:pPr>
      <w:r>
        <w:t xml:space="preserve">France Mobile : dernière mise à jour 31 mai 2024</w:t>
      </w:r>
    </w:p>
    <w:p>
      <w:pPr>
        <w:pStyle w:val="Compact"/>
        <w:numPr>
          <w:numId w:val="1010"/>
          <w:ilvl w:val="0"/>
        </w:numPr>
      </w:pPr>
      <w:r>
        <w:t xml:space="preserve">Hubs territoriaux</w:t>
      </w:r>
    </w:p>
    <w:p>
      <w:pPr>
        <w:pStyle w:val="Compact"/>
        <w:numPr>
          <w:numId w:val="1010"/>
          <w:ilvl w:val="0"/>
        </w:numPr>
      </w:pPr>
      <w:r>
        <w:t xml:space="preserve">Manufactures de proximité : dernière mise à jour 12 septembre 2024</w:t>
      </w:r>
    </w:p>
    <w:p>
      <w:pPr>
        <w:pStyle w:val="Compact"/>
        <w:numPr>
          <w:numId w:val="1010"/>
          <w:ilvl w:val="0"/>
        </w:numPr>
      </w:pPr>
      <w:r>
        <w:t xml:space="preserve">Structures d’accueil conseillers numériques : dernière mise à jour 19 septembre 2024</w:t>
      </w:r>
    </w:p>
    <w:p>
      <w:pPr>
        <w:pStyle w:val="Compact"/>
        <w:numPr>
          <w:numId w:val="1010"/>
          <w:ilvl w:val="0"/>
        </w:numPr>
      </w:pPr>
      <w:r>
        <w:t xml:space="preserve">Suivi Bases adresses locales</w:t>
      </w:r>
    </w:p>
    <w:p>
      <w:pPr>
        <w:pStyle w:val="Compact"/>
        <w:numPr>
          <w:numId w:val="1010"/>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2024-09-19T02:17:28Z</dcterms:created>
  <dcterms:modified xsi:type="dcterms:W3CDTF">2024-09-19T02:17:28Z</dcterms:modified>
</cp:coreProperties>
</file>

<file path=docProps/custom.xml><?xml version="1.0" encoding="utf-8"?>
<Properties xmlns="http://schemas.openxmlformats.org/officeDocument/2006/custom-properties" xmlns:vt="http://schemas.openxmlformats.org/officeDocument/2006/docPropsVTypes"/>
</file>