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pays-de-la-loire"/>
      <w:r>
        <w:t xml:space="preserve">Numérique « Pays de la Loire »</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Pays de la Loire, 217 sites ont été identifiés,</w:t>
      </w:r>
      <w:r>
        <w:t xml:space="preserve"> </w:t>
      </w:r>
      <w:r>
        <w:t xml:space="preserve">parmi lesquels 154 ont d’ores et déjà été mis en service.</w:t>
      </w:r>
    </w:p>
    <w:p>
      <w:pPr>
        <w:pStyle w:val="Corpsdetexte"/>
      </w:pPr>
      <w:r>
        <w:t xml:space="preserve">Dans le cadre du dispositif 4G fixe, dans la région Pays de la Loire,</w:t>
      </w:r>
      <w:r>
        <w:t xml:space="preserve"> </w:t>
      </w:r>
      <w:r>
        <w:t xml:space="preserve">34 sites ont été identifiés,</w:t>
      </w:r>
      <w:r>
        <w:t xml:space="preserve"> </w:t>
      </w:r>
      <w:r>
        <w:t xml:space="preserve">et 25 ont déjà été mis en service.</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3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Orange et XP Fibre sur 122 communes ;</w:t>
      </w:r>
    </w:p>
    <w:p>
      <w:pPr>
        <w:pStyle w:val="Compact"/>
        <w:numPr>
          <w:numId w:val="1001"/>
          <w:ilvl w:val="0"/>
        </w:numPr>
      </w:pPr>
      <w:r>
        <w:t xml:space="preserve">celle de Anjou Numérique, Communauté d’agglomération de Laval, GIP Vendée Numérique, Loire-Atlantique Numérique, Mayenne THD et Sarthe Numérique dans la zone d’initiative publique qui comprend 1182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226 646</w:t>
            </w:r>
            <w:r>
              <w:t xml:space="preserve"> </w:t>
            </w:r>
            <w:r>
              <w:rPr>
                <w:i/>
              </w:rPr>
              <w:t xml:space="preserve">9.0%</w:t>
            </w:r>
          </w:p>
        </w:tc>
        <w:tc>
          <w:p>
            <w:pPr>
              <w:pStyle w:val="Compact"/>
              <w:jc w:val="left"/>
            </w:pPr>
            <w:r>
              <w:t xml:space="preserve">204 651</w:t>
            </w:r>
            <w:r>
              <w:t xml:space="preserve"> </w:t>
            </w:r>
            <w:r>
              <w:rPr>
                <w:i/>
              </w:rPr>
              <w:t xml:space="preserve">90.0%</w:t>
            </w:r>
          </w:p>
        </w:tc>
      </w:tr>
      <w:tr>
        <w:tc>
          <w:p>
            <w:pPr>
              <w:pStyle w:val="Compact"/>
              <w:jc w:val="left"/>
            </w:pPr>
            <w:r>
              <w:t xml:space="preserve">Zone AMII</w:t>
            </w:r>
          </w:p>
        </w:tc>
        <w:tc>
          <w:p>
            <w:pPr>
              <w:pStyle w:val="Compact"/>
              <w:jc w:val="left"/>
            </w:pPr>
            <w:r>
              <w:t xml:space="preserve">926 406</w:t>
            </w:r>
            <w:r>
              <w:t xml:space="preserve"> </w:t>
            </w:r>
            <w:r>
              <w:rPr>
                <w:i/>
              </w:rPr>
              <w:t xml:space="preserve">37.0%</w:t>
            </w:r>
          </w:p>
        </w:tc>
        <w:tc>
          <w:p>
            <w:pPr>
              <w:pStyle w:val="Compact"/>
              <w:jc w:val="left"/>
            </w:pPr>
            <w:r>
              <w:t xml:space="preserve">832 692</w:t>
            </w:r>
            <w:r>
              <w:t xml:space="preserve"> </w:t>
            </w:r>
            <w:r>
              <w:rPr>
                <w:i/>
              </w:rPr>
              <w:t xml:space="preserve">90.0%</w:t>
            </w:r>
          </w:p>
        </w:tc>
      </w:tr>
      <w:tr>
        <w:tc>
          <w:p>
            <w:pPr>
              <w:pStyle w:val="Compact"/>
              <w:jc w:val="left"/>
            </w:pPr>
            <w:r>
              <w:t xml:space="preserve">Zone RIP</w:t>
            </w:r>
          </w:p>
        </w:tc>
        <w:tc>
          <w:p>
            <w:pPr>
              <w:pStyle w:val="Compact"/>
              <w:jc w:val="left"/>
            </w:pPr>
            <w:r>
              <w:t xml:space="preserve">1 334 299</w:t>
            </w:r>
            <w:r>
              <w:t xml:space="preserve"> </w:t>
            </w:r>
            <w:r>
              <w:rPr>
                <w:i/>
              </w:rPr>
              <w:t xml:space="preserve">54.0%</w:t>
            </w:r>
          </w:p>
        </w:tc>
        <w:tc>
          <w:p>
            <w:pPr>
              <w:pStyle w:val="Compact"/>
              <w:jc w:val="left"/>
            </w:pPr>
            <w:r>
              <w:t xml:space="preserve">1 225 547</w:t>
            </w:r>
            <w:r>
              <w:t xml:space="preserve"> </w:t>
            </w:r>
            <w:r>
              <w:rPr>
                <w:i/>
              </w:rPr>
              <w:t xml:space="preserve">92.0%</w:t>
            </w:r>
          </w:p>
        </w:tc>
      </w:tr>
      <w:tr>
        <w:tc>
          <w:p>
            <w:pPr>
              <w:pStyle w:val="Compact"/>
              <w:jc w:val="left"/>
            </w:pPr>
            <w:r>
              <w:rPr>
                <w:b/>
              </w:rPr>
              <w:t xml:space="preserve">Total</w:t>
            </w:r>
          </w:p>
        </w:tc>
        <w:tc>
          <w:p>
            <w:pPr>
              <w:pStyle w:val="Compact"/>
              <w:jc w:val="left"/>
            </w:pPr>
            <w:r>
              <w:t xml:space="preserve">2 487 351</w:t>
            </w:r>
            <w:r>
              <w:t xml:space="preserve"> </w:t>
            </w:r>
            <w:r>
              <w:rPr>
                <w:i/>
              </w:rPr>
              <w:t xml:space="preserve">100%</w:t>
            </w:r>
          </w:p>
        </w:tc>
        <w:tc>
          <w:p>
            <w:pPr>
              <w:pStyle w:val="Compact"/>
              <w:jc w:val="left"/>
            </w:pPr>
            <w:r>
              <w:t xml:space="preserve">2 262 890</w:t>
            </w:r>
            <w:r>
              <w:t xml:space="preserve"> </w:t>
            </w:r>
            <w:r>
              <w:rPr>
                <w:i/>
              </w:rPr>
              <w:t xml:space="preserve">91.0%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16 en région Pays de la Loire :</w:t>
      </w:r>
    </w:p>
    <w:p>
      <w:pPr>
        <w:pStyle w:val="Compact"/>
        <w:numPr>
          <w:numId w:val="1002"/>
          <w:ilvl w:val="0"/>
        </w:numPr>
      </w:pPr>
      <w:r>
        <w:t xml:space="preserve">Loire-Atlantique (44) :</w:t>
      </w:r>
    </w:p>
    <w:p>
      <w:pPr>
        <w:pStyle w:val="Compact"/>
        <w:numPr>
          <w:numId w:val="1003"/>
          <w:ilvl w:val="1"/>
        </w:numPr>
      </w:pPr>
      <w:r>
        <w:t xml:space="preserve">Beau-Tiers-Lieu à Nantes</w:t>
      </w:r>
    </w:p>
    <w:p>
      <w:pPr>
        <w:pStyle w:val="Compact"/>
        <w:numPr>
          <w:numId w:val="1003"/>
          <w:ilvl w:val="1"/>
        </w:numPr>
      </w:pPr>
      <w:r>
        <w:t xml:space="preserve">PiNG à Nantes</w:t>
      </w:r>
    </w:p>
    <w:p>
      <w:pPr>
        <w:pStyle w:val="Compact"/>
        <w:numPr>
          <w:numId w:val="1003"/>
          <w:ilvl w:val="1"/>
        </w:numPr>
      </w:pPr>
      <w:r>
        <w:t xml:space="preserve">Plan B :</w:t>
      </w:r>
    </w:p>
    <w:p>
      <w:pPr>
        <w:pStyle w:val="FirstParagraph"/>
      </w:pPr>
      <w:r>
        <w:t xml:space="preserve">Association ID Numéric</w:t>
      </w:r>
      <w:r>
        <w:t xml:space="preserve"> </w:t>
      </w:r>
      <w:r>
        <w:t xml:space="preserve">Association Océan Régie de quartier</w:t>
      </w:r>
      <w:r>
        <w:t xml:space="preserve"> </w:t>
      </w:r>
      <w:r>
        <w:t xml:space="preserve">Collectif Marché Alternatif de Bellevue</w:t>
      </w:r>
      <w:r>
        <w:t xml:space="preserve"> </w:t>
      </w:r>
      <w:r>
        <w:t xml:space="preserve">Association Atelier Mobicréa</w:t>
      </w:r>
      <w:r>
        <w:t xml:space="preserve"> </w:t>
      </w:r>
      <w:r>
        <w:t xml:space="preserve">à Nantes</w:t>
      </w:r>
      <w:r>
        <w:t xml:space="preserve"> </w:t>
      </w:r>
      <w:r>
        <w:t xml:space="preserve">* Blue Lab Saint Nazaire à Saint-Nazaire</w:t>
      </w:r>
      <w:r>
        <w:t xml:space="preserve"> </w:t>
      </w:r>
      <w:r>
        <w:t xml:space="preserve">* SA COOPERATIVE IDEAL à Savenay</w:t>
      </w:r>
      <w:r>
        <w:t xml:space="preserve"> </w:t>
      </w:r>
      <w:r>
        <w:t xml:space="preserve">* Maine-et-Loire (49) :</w:t>
      </w:r>
      <w:r>
        <w:t xml:space="preserve"> </w:t>
      </w:r>
      <w:r>
        <w:t xml:space="preserve">* Paï Paï à Angers</w:t>
      </w:r>
      <w:r>
        <w:t xml:space="preserve"> </w:t>
      </w:r>
      <w:r>
        <w:t xml:space="preserve">* Association centre social et socioculturel du chemillois à Chemillé-en-Anjou</w:t>
      </w:r>
      <w:r>
        <w:t xml:space="preserve"> </w:t>
      </w:r>
      <w:r>
        <w:t xml:space="preserve">* AICLA (Association D’animation et d’Initiatives Citoyennes Loire- Authion à Loire-Authion</w:t>
      </w:r>
      <w:r>
        <w:t xml:space="preserve"> </w:t>
      </w:r>
      <w:r>
        <w:t xml:space="preserve">* C’est bio l’Anjou à Rochefort-sur-Loire</w:t>
      </w:r>
      <w:r>
        <w:t xml:space="preserve"> </w:t>
      </w:r>
      <w:r>
        <w:t xml:space="preserve">* Mayenne (53) :</w:t>
      </w:r>
      <w:r>
        <w:t xml:space="preserve"> </w:t>
      </w:r>
      <w:r>
        <w:t xml:space="preserve">* SCIC LEVEL à Laval</w:t>
      </w:r>
      <w:r>
        <w:t xml:space="preserve"> </w:t>
      </w:r>
      <w:r>
        <w:t xml:space="preserve">* Payaso Loco à Pré-en-Pail-Saint-Samson</w:t>
      </w:r>
      <w:r>
        <w:t xml:space="preserve"> </w:t>
      </w:r>
      <w:r>
        <w:t xml:space="preserve">* Commune de St-Denis-de-Gastines</w:t>
      </w:r>
      <w:r>
        <w:t xml:space="preserve"> </w:t>
      </w:r>
      <w:r>
        <w:t xml:space="preserve">50 bis rue de Bretagne</w:t>
      </w:r>
      <w:r>
        <w:t xml:space="preserve"> </w:t>
      </w:r>
      <w:r>
        <w:t xml:space="preserve">Mairie à Saint-Denis-de-Gastines</w:t>
      </w:r>
      <w:r>
        <w:t xml:space="preserve"> </w:t>
      </w:r>
      <w:r>
        <w:t xml:space="preserve">* Sarthe (72) :</w:t>
      </w:r>
      <w:r>
        <w:t xml:space="preserve"> </w:t>
      </w:r>
      <w:r>
        <w:t xml:space="preserve">* Ville d’Allonnes à Allonnes</w:t>
      </w:r>
      <w:r>
        <w:t xml:space="preserve"> </w:t>
      </w:r>
      <w:r>
        <w:t xml:space="preserve">* SCI HUMOMA à Saint-Georges-du-Bois</w:t>
      </w:r>
      <w:r>
        <w:t xml:space="preserve"> </w:t>
      </w:r>
      <w:r>
        <w:t xml:space="preserve">* Vendée (85) :</w:t>
      </w:r>
      <w:r>
        <w:t xml:space="preserve"> </w:t>
      </w:r>
      <w:r>
        <w:t xml:space="preserve">* Centre Socioculturel</w:t>
      </w:r>
      <w:r>
        <w:t xml:space="preserve"> </w:t>
      </w:r>
      <w:r>
        <w:t xml:space="preserve">“</w:t>
      </w:r>
      <w:r>
        <w:t xml:space="preserve">le Kiosque</w:t>
      </w:r>
      <w:r>
        <w:t xml:space="preserve">”</w:t>
      </w:r>
      <w:r>
        <w:t xml:space="preserve"> </w:t>
      </w:r>
      <w:r>
        <w:t xml:space="preserve">à Benet</w:t>
      </w:r>
      <w:r>
        <w:t xml:space="preserve"> </w:t>
      </w:r>
      <w:r>
        <w:t xml:space="preserve">* Le Moulin Créatif à Montaigu-Vendée</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 dont 7 dans la région :</w:t>
      </w:r>
    </w:p>
    <w:p>
      <w:pPr>
        <w:pStyle w:val="Compact"/>
        <w:numPr>
          <w:numId w:val="1004"/>
          <w:ilvl w:val="0"/>
        </w:numPr>
      </w:pPr>
      <w:r>
        <w:t xml:space="preserve">LEVEL (Laval)</w:t>
      </w:r>
    </w:p>
    <w:p>
      <w:pPr>
        <w:pStyle w:val="Compact"/>
        <w:numPr>
          <w:numId w:val="1004"/>
          <w:ilvl w:val="0"/>
        </w:numPr>
      </w:pPr>
      <w:r>
        <w:t xml:space="preserve">La Station (Saint-Denis-de-Gastines)</w:t>
      </w:r>
    </w:p>
    <w:p>
      <w:pPr>
        <w:pStyle w:val="Compact"/>
        <w:numPr>
          <w:numId w:val="1004"/>
          <w:ilvl w:val="0"/>
        </w:numPr>
      </w:pPr>
      <w:r>
        <w:t xml:space="preserve">Le Séchoir du Liveau, le tiers-lieu de production éco-créative, Route touristique du vignoble nantais (44) (Clisson)</w:t>
      </w:r>
    </w:p>
    <w:p>
      <w:pPr>
        <w:pStyle w:val="Compact"/>
        <w:numPr>
          <w:numId w:val="1004"/>
          <w:ilvl w:val="0"/>
        </w:numPr>
      </w:pPr>
      <w:r>
        <w:t xml:space="preserve">MAISON DE LA CERAMIQUE (Le Fuilet)</w:t>
      </w:r>
    </w:p>
    <w:p>
      <w:pPr>
        <w:pStyle w:val="Compact"/>
        <w:numPr>
          <w:numId w:val="1004"/>
          <w:ilvl w:val="0"/>
        </w:numPr>
      </w:pPr>
      <w:r>
        <w:t xml:space="preserve">Manufacture de proximité - Filière Bois (Pouzauges)</w:t>
      </w:r>
    </w:p>
    <w:p>
      <w:pPr>
        <w:pStyle w:val="Compact"/>
        <w:numPr>
          <w:numId w:val="1004"/>
          <w:ilvl w:val="0"/>
        </w:numPr>
      </w:pPr>
      <w:r>
        <w:t xml:space="preserve">Manufacture de tressage (Bégrolles-en-Mauges)</w:t>
      </w:r>
    </w:p>
    <w:p>
      <w:pPr>
        <w:pStyle w:val="Compact"/>
        <w:numPr>
          <w:numId w:val="1004"/>
          <w:ilvl w:val="0"/>
        </w:numPr>
      </w:pPr>
      <w:r>
        <w:t xml:space="preserve">Tiers Lieu ValOrise (Brain-sur-Allonnes)</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Pays de la Loire</w:t>
      </w:r>
      <w:r>
        <w:t xml:space="preserve"> </w:t>
      </w:r>
      <w:r>
        <w:t xml:space="preserve">est couverte</w:t>
      </w:r>
      <w:r>
        <w:t xml:space="preserve"> </w:t>
      </w:r>
      <w:r>
        <w:t xml:space="preserve">par le hub « Hub Conumm »</w:t>
      </w:r>
      <w:r>
        <w:t xml:space="preserve"> </w:t>
      </w:r>
      <w:r>
        <w:t xml:space="preserve">n’est pas couverte par un hub</w:t>
      </w:r>
      <w:r>
        <w:t xml:space="preserve"> </w:t>
      </w:r>
      <w:r>
        <w:t xml:space="preserve">.</w:t>
      </w:r>
    </w:p>
    <w:p>
      <w:pPr>
        <w:pStyle w:val="Titre2"/>
      </w:pPr>
      <w:bookmarkStart w:id="26" w:name="conseillers-numériques"/>
      <w:r>
        <w:t xml:space="preserve">Conseillers numériques</w:t>
      </w:r>
      <w:bookmarkEnd w:id="26"/>
    </w:p>
    <w:p>
      <w:pPr>
        <w:pStyle w:val="Compact"/>
        <w:numPr>
          <w:numId w:val="1005"/>
          <w:ilvl w:val="0"/>
        </w:numPr>
      </w:pPr>
      <w:r>
        <w:t xml:space="preserve">173 CNFS validés dans 118 structures d’accueil</w:t>
      </w:r>
    </w:p>
    <w:p>
      <w:pPr>
        <w:pStyle w:val="Compact"/>
        <w:numPr>
          <w:numId w:val="1005"/>
          <w:ilvl w:val="0"/>
        </w:numPr>
      </w:pPr>
      <w:r>
        <w:t xml:space="preserve">153 CNFS recrutés</w:t>
      </w:r>
    </w:p>
    <w:p>
      <w:pPr>
        <w:pStyle w:val="Compact"/>
        <w:numPr>
          <w:numId w:val="1005"/>
          <w:ilvl w:val="0"/>
        </w:numPr>
      </w:pPr>
      <w:r>
        <w:t xml:space="preserve">1 CNFS en formation</w:t>
      </w:r>
    </w:p>
    <w:p>
      <w:pPr>
        <w:pStyle w:val="Compact"/>
        <w:numPr>
          <w:numId w:val="1005"/>
          <w:ilvl w:val="0"/>
        </w:numPr>
      </w:pPr>
      <w:r>
        <w:t xml:space="preserve">128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06"/>
          <w:ilvl w:val="0"/>
        </w:numPr>
      </w:pPr>
      <w:r>
        <w:t xml:space="preserve">241 structures candidates</w:t>
      </w:r>
    </w:p>
    <w:p>
      <w:pPr>
        <w:pStyle w:val="Compact"/>
        <w:numPr>
          <w:numId w:val="1006"/>
          <w:ilvl w:val="0"/>
        </w:numPr>
      </w:pPr>
      <w:r>
        <w:t xml:space="preserve">776 aidants à habiliter au total</w:t>
      </w:r>
    </w:p>
    <w:p>
      <w:pPr>
        <w:pStyle w:val="Compact"/>
        <w:numPr>
          <w:numId w:val="1006"/>
          <w:ilvl w:val="0"/>
        </w:numPr>
      </w:pPr>
      <w:r>
        <w:t xml:space="preserve">224 structures ont finalisé leur habilitation (598 aidants formés au 16 septembre 2024)</w:t>
      </w:r>
    </w:p>
    <w:p>
      <w:pPr>
        <w:pStyle w:val="Titre2"/>
      </w:pPr>
      <w:bookmarkStart w:id="28" w:name="bases-adresses-locales"/>
      <w:r>
        <w:t xml:space="preserve">Bases adresses locales</w:t>
      </w:r>
      <w:bookmarkEnd w:id="28"/>
    </w:p>
    <w:p>
      <w:pPr>
        <w:pStyle w:val="FirstParagraph"/>
      </w:pPr>
      <w:r>
        <w:t xml:space="preserve">968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07"/>
          <w:ilvl w:val="0"/>
        </w:numPr>
      </w:pPr>
      <w:r>
        <w:t xml:space="preserve">Aidants Connect : dernière mise à jour 16 septembre 2024</w:t>
      </w:r>
    </w:p>
    <w:p>
      <w:pPr>
        <w:pStyle w:val="Compact"/>
        <w:numPr>
          <w:numId w:val="1007"/>
          <w:ilvl w:val="0"/>
        </w:numPr>
      </w:pPr>
      <w:r>
        <w:t xml:space="preserve">Arcep – Technologies par commune : dernière mise à jour 05 avril 2024</w:t>
      </w:r>
    </w:p>
    <w:p>
      <w:pPr>
        <w:pStyle w:val="Compact"/>
        <w:numPr>
          <w:numId w:val="1007"/>
          <w:ilvl w:val="0"/>
        </w:numPr>
      </w:pPr>
      <w:r>
        <w:t xml:space="preserve">Conseillers numériques : dernière mise à jour 19 septembre 2024</w:t>
      </w:r>
    </w:p>
    <w:p>
      <w:pPr>
        <w:pStyle w:val="Compact"/>
        <w:numPr>
          <w:numId w:val="1007"/>
          <w:ilvl w:val="0"/>
        </w:numPr>
      </w:pPr>
      <w:r>
        <w:t xml:space="preserve">Fabriques de Territoire : dernière mise à jour 12 septembre 2024</w:t>
      </w:r>
    </w:p>
    <w:p>
      <w:pPr>
        <w:pStyle w:val="Compact"/>
        <w:numPr>
          <w:numId w:val="1007"/>
          <w:ilvl w:val="0"/>
        </w:numPr>
      </w:pPr>
      <w:r>
        <w:t xml:space="preserve">France Mobile : dernière mise à jour 31 mai 2024</w:t>
      </w:r>
    </w:p>
    <w:p>
      <w:pPr>
        <w:pStyle w:val="Compact"/>
        <w:numPr>
          <w:numId w:val="1007"/>
          <w:ilvl w:val="0"/>
        </w:numPr>
      </w:pPr>
      <w:r>
        <w:t xml:space="preserve">Hubs territoriaux</w:t>
      </w:r>
    </w:p>
    <w:p>
      <w:pPr>
        <w:pStyle w:val="Compact"/>
        <w:numPr>
          <w:numId w:val="1007"/>
          <w:ilvl w:val="0"/>
        </w:numPr>
      </w:pPr>
      <w:r>
        <w:t xml:space="preserve">Manufactures de proximité : dernière mise à jour 12 septembre 2024</w:t>
      </w:r>
    </w:p>
    <w:p>
      <w:pPr>
        <w:pStyle w:val="Compact"/>
        <w:numPr>
          <w:numId w:val="1007"/>
          <w:ilvl w:val="0"/>
        </w:numPr>
      </w:pPr>
      <w:r>
        <w:t xml:space="preserve">Structures d’accueil conseillers numériques : dernière mise à jour 19 septembre 2024</w:t>
      </w:r>
    </w:p>
    <w:p>
      <w:pPr>
        <w:pStyle w:val="Compact"/>
        <w:numPr>
          <w:numId w:val="1007"/>
          <w:ilvl w:val="0"/>
        </w:numPr>
      </w:pPr>
      <w:r>
        <w:t xml:space="preserve">Suivi Bases adresses locales</w:t>
      </w:r>
    </w:p>
    <w:p>
      <w:pPr>
        <w:pStyle w:val="Compact"/>
        <w:numPr>
          <w:numId w:val="1007"/>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2024-09-19T02:17:26Z</dcterms:created>
  <dcterms:modified xsi:type="dcterms:W3CDTF">2024-09-19T02:17:26Z</dcterms:modified>
</cp:coreProperties>
</file>

<file path=docProps/custom.xml><?xml version="1.0" encoding="utf-8"?>
<Properties xmlns="http://schemas.openxmlformats.org/officeDocument/2006/custom-properties" xmlns:vt="http://schemas.openxmlformats.org/officeDocument/2006/docPropsVTypes"/>
</file>