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r>
        <w:t xml:space="preserve"> </w:t>
      </w:r>
      <w:r>
        <w:t xml:space="preserve">Veuillez favoriser cette interface plutôt que les fiches au format word qui ne sont plus maintenues et seront supprimées dans quelques mois.</w:t>
      </w:r>
    </w:p>
    <w:p>
      <w:pPr>
        <w:pStyle w:val="Titre1"/>
      </w:pPr>
      <w:bookmarkStart w:id="20" w:name="numérique-grand-est"/>
      <w:r>
        <w:t xml:space="preserve">Numérique « Grand Est »</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Grand Est, 569 sites ont été identifiés,</w:t>
      </w:r>
      <w:r>
        <w:t xml:space="preserve"> </w:t>
      </w:r>
      <w:r>
        <w:t xml:space="preserve">parmi lesquels 392 ont d’ores et déjà été mis en service.</w:t>
      </w:r>
    </w:p>
    <w:p>
      <w:pPr>
        <w:pStyle w:val="Corpsdetexte"/>
      </w:pPr>
      <w:r>
        <w:t xml:space="preserve">Dans le cadre du dispositif 4G fixe, dans la région Grand Est,</w:t>
      </w:r>
      <w:r>
        <w:t xml:space="preserve"> </w:t>
      </w:r>
      <w:r>
        <w:t xml:space="preserve">99 sites ont été identifiés,</w:t>
      </w:r>
      <w:r>
        <w:t xml:space="preserve"> </w:t>
      </w:r>
      <w:r>
        <w:t xml:space="preserve">et 90 ont déjà été mis en service.</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la région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de la région à horizon 2022.</w:t>
      </w:r>
    </w:p>
    <w:p>
      <w:pPr>
        <w:pStyle w:val="Corpsdetexte"/>
      </w:pPr>
      <w:r>
        <w:t xml:space="preserve">Le déploiement de la fibre optique jusqu’à l’abonné (FttH) sur le territoire</w:t>
      </w:r>
      <w:r>
        <w:t xml:space="preserve"> </w:t>
      </w:r>
      <w:r>
        <w:t xml:space="preserve">est, quant à lui, assuré par 4 initiatives complémentaires :</w:t>
      </w:r>
    </w:p>
    <w:p>
      <w:pPr>
        <w:pStyle w:val="Compact"/>
        <w:numPr>
          <w:numId w:val="1001"/>
          <w:ilvl w:val="0"/>
        </w:numPr>
      </w:pPr>
      <w:r>
        <w:t xml:space="preserve">L’initiative privée des opérateurs dans la zone très dense, qui comprend 3 communes ;</w:t>
      </w:r>
    </w:p>
    <w:p>
      <w:pPr>
        <w:pStyle w:val="Compact"/>
        <w:numPr>
          <w:numId w:val="1001"/>
          <w:ilvl w:val="0"/>
        </w:numPr>
      </w:pPr>
      <w:r>
        <w:t xml:space="preserve">celle de Altitude, Orange, Régie et XP Fibre sur 95 communes ;</w:t>
      </w:r>
    </w:p>
    <w:p>
      <w:pPr>
        <w:pStyle w:val="Compact"/>
        <w:numPr>
          <w:numId w:val="1001"/>
          <w:ilvl w:val="0"/>
        </w:numPr>
      </w:pPr>
      <w:r>
        <w:t xml:space="preserve">celle de Orange et XP Fibre sur 374 communes ;</w:t>
      </w:r>
    </w:p>
    <w:p>
      <w:pPr>
        <w:pStyle w:val="Compact"/>
        <w:numPr>
          <w:numId w:val="1001"/>
          <w:ilvl w:val="0"/>
        </w:numPr>
      </w:pPr>
      <w:r>
        <w:t xml:space="preserve">celle de CC du Pays Orne Moselle, CC du Val d’Argent, CC du Warndt, CC Houve-Pays Boulageois, CC Rives de Moselle, CC Sarrebourg Moselle Sud, CC Sundgau, Communauté d’agglomération de Forbach, Communauté de communes de Freyming, Communauté de communes pays de Bitche, Communautés de communes Rives de Moselle, CR Grand Est, CR Grand Est. et Moselle Fibre dans la zone d’initiative publique qui comprend 4646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Très Dense</w:t>
            </w:r>
          </w:p>
        </w:tc>
        <w:tc>
          <w:p>
            <w:pPr>
              <w:pStyle w:val="Compact"/>
              <w:jc w:val="left"/>
            </w:pPr>
            <w:r>
              <w:t xml:space="preserve">365 538</w:t>
            </w:r>
            <w:r>
              <w:t xml:space="preserve"> </w:t>
            </w:r>
            <w:r>
              <w:rPr>
                <w:i/>
              </w:rPr>
              <w:t xml:space="preserve">10.0%</w:t>
            </w:r>
          </w:p>
        </w:tc>
        <w:tc>
          <w:p>
            <w:pPr>
              <w:pStyle w:val="Compact"/>
              <w:jc w:val="left"/>
            </w:pPr>
            <w:r>
              <w:t xml:space="preserve">325 440</w:t>
            </w:r>
            <w:r>
              <w:t xml:space="preserve"> </w:t>
            </w:r>
            <w:r>
              <w:rPr>
                <w:i/>
              </w:rPr>
              <w:t xml:space="preserve">89.0%</w:t>
            </w:r>
          </w:p>
        </w:tc>
      </w:tr>
      <w:tr>
        <w:tc>
          <w:p>
            <w:pPr>
              <w:pStyle w:val="Compact"/>
              <w:jc w:val="left"/>
            </w:pPr>
            <w:r>
              <w:t xml:space="preserve">Zone AMEL / fonds propres</w:t>
            </w:r>
          </w:p>
        </w:tc>
        <w:tc>
          <w:p>
            <w:pPr>
              <w:pStyle w:val="Compact"/>
              <w:jc w:val="left"/>
            </w:pPr>
            <w:r>
              <w:t xml:space="preserve">149 292</w:t>
            </w:r>
            <w:r>
              <w:t xml:space="preserve"> </w:t>
            </w:r>
            <w:r>
              <w:rPr>
                <w:i/>
              </w:rPr>
              <w:t xml:space="preserve">4.0%</w:t>
            </w:r>
          </w:p>
        </w:tc>
        <w:tc>
          <w:p>
            <w:pPr>
              <w:pStyle w:val="Compact"/>
              <w:jc w:val="left"/>
            </w:pPr>
            <w:r>
              <w:t xml:space="preserve">85 848</w:t>
            </w:r>
            <w:r>
              <w:t xml:space="preserve"> </w:t>
            </w:r>
            <w:r>
              <w:rPr>
                <w:i/>
              </w:rPr>
              <w:t xml:space="preserve">58.0%</w:t>
            </w:r>
          </w:p>
        </w:tc>
      </w:tr>
      <w:tr>
        <w:tc>
          <w:p>
            <w:pPr>
              <w:pStyle w:val="Compact"/>
              <w:jc w:val="left"/>
            </w:pPr>
            <w:r>
              <w:t xml:space="preserve">Zone AMII</w:t>
            </w:r>
          </w:p>
        </w:tc>
        <w:tc>
          <w:p>
            <w:pPr>
              <w:pStyle w:val="Compact"/>
              <w:jc w:val="left"/>
            </w:pPr>
            <w:r>
              <w:t xml:space="preserve">1 242 378</w:t>
            </w:r>
            <w:r>
              <w:t xml:space="preserve"> </w:t>
            </w:r>
            <w:r>
              <w:rPr>
                <w:i/>
              </w:rPr>
              <w:t xml:space="preserve">36.0%</w:t>
            </w:r>
          </w:p>
        </w:tc>
        <w:tc>
          <w:p>
            <w:pPr>
              <w:pStyle w:val="Compact"/>
              <w:jc w:val="left"/>
            </w:pPr>
            <w:r>
              <w:t xml:space="preserve">1 133 383</w:t>
            </w:r>
            <w:r>
              <w:t xml:space="preserve"> </w:t>
            </w:r>
            <w:r>
              <w:rPr>
                <w:i/>
              </w:rPr>
              <w:t xml:space="preserve">91.0%</w:t>
            </w:r>
          </w:p>
        </w:tc>
      </w:tr>
      <w:tr>
        <w:tc>
          <w:p>
            <w:pPr>
              <w:pStyle w:val="Compact"/>
              <w:jc w:val="left"/>
            </w:pPr>
            <w:r>
              <w:t xml:space="preserve">Zone RIP</w:t>
            </w:r>
          </w:p>
        </w:tc>
        <w:tc>
          <w:p>
            <w:pPr>
              <w:pStyle w:val="Compact"/>
              <w:jc w:val="left"/>
            </w:pPr>
            <w:r>
              <w:t xml:space="preserve">1 729 778</w:t>
            </w:r>
            <w:r>
              <w:t xml:space="preserve"> </w:t>
            </w:r>
            <w:r>
              <w:rPr>
                <w:i/>
              </w:rPr>
              <w:t xml:space="preserve">50.0%</w:t>
            </w:r>
          </w:p>
        </w:tc>
        <w:tc>
          <w:p>
            <w:pPr>
              <w:pStyle w:val="Compact"/>
              <w:jc w:val="left"/>
            </w:pPr>
            <w:r>
              <w:t xml:space="preserve">1 609 364</w:t>
            </w:r>
            <w:r>
              <w:t xml:space="preserve"> </w:t>
            </w:r>
            <w:r>
              <w:rPr>
                <w:i/>
              </w:rPr>
              <w:t xml:space="preserve">93.0%</w:t>
            </w:r>
          </w:p>
        </w:tc>
      </w:tr>
      <w:tr>
        <w:tc>
          <w:p>
            <w:pPr>
              <w:pStyle w:val="Compact"/>
              <w:jc w:val="left"/>
            </w:pPr>
            <w:r>
              <w:rPr>
                <w:b/>
              </w:rPr>
              <w:t xml:space="preserve">Total</w:t>
            </w:r>
          </w:p>
        </w:tc>
        <w:tc>
          <w:p>
            <w:pPr>
              <w:pStyle w:val="Compact"/>
              <w:jc w:val="left"/>
            </w:pPr>
            <w:r>
              <w:t xml:space="preserve">3 486 986</w:t>
            </w:r>
            <w:r>
              <w:t xml:space="preserve"> </w:t>
            </w:r>
            <w:r>
              <w:rPr>
                <w:i/>
              </w:rPr>
              <w:t xml:space="preserve">100%</w:t>
            </w:r>
          </w:p>
        </w:tc>
        <w:tc>
          <w:p>
            <w:pPr>
              <w:pStyle w:val="Compact"/>
              <w:jc w:val="left"/>
            </w:pPr>
            <w:r>
              <w:t xml:space="preserve">3 154 035</w:t>
            </w:r>
            <w:r>
              <w:t xml:space="preserve"> </w:t>
            </w:r>
            <w:r>
              <w:rPr>
                <w:i/>
              </w:rPr>
              <w:t xml:space="preserve">90.0%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XX départements.</w:t>
      </w:r>
    </w:p>
    <w:p>
      <w:pPr>
        <w:pStyle w:val="Titre2"/>
      </w:pPr>
      <w:bookmarkStart w:id="23" w:name="fabriques-numériques"/>
      <w:r>
        <w:t xml:space="preserve">Fabriques numériques</w:t>
      </w:r>
      <w:bookmarkEnd w:id="23"/>
    </w:p>
    <w:p>
      <w:pPr>
        <w:pStyle w:val="FirstParagraph"/>
      </w:pPr>
      <w:r>
        <w:t xml:space="preserve">300 fabriques ont déjà été retenues au titre de</w:t>
      </w:r>
      <w:r>
        <w:t xml:space="preserve"> </w:t>
      </w:r>
      <w:r>
        <w:t xml:space="preserve">l’AMI, dont 19 en région Grand Est :</w:t>
      </w:r>
    </w:p>
    <w:p>
      <w:pPr>
        <w:pStyle w:val="Compact"/>
        <w:numPr>
          <w:numId w:val="1002"/>
          <w:ilvl w:val="0"/>
        </w:numPr>
      </w:pPr>
      <w:r>
        <w:t xml:space="preserve">Ardennes (08) :</w:t>
      </w:r>
    </w:p>
    <w:p>
      <w:pPr>
        <w:pStyle w:val="Compact"/>
        <w:numPr>
          <w:numId w:val="1003"/>
          <w:ilvl w:val="1"/>
        </w:numPr>
      </w:pPr>
      <w:r>
        <w:t xml:space="preserve">Familles Rurales, Association de Territoire des Crêtes Préardennaises à Poix-Terron</w:t>
      </w:r>
    </w:p>
    <w:p>
      <w:pPr>
        <w:pStyle w:val="Compact"/>
        <w:numPr>
          <w:numId w:val="1002"/>
          <w:ilvl w:val="0"/>
        </w:numPr>
      </w:pPr>
      <w:r>
        <w:t xml:space="preserve">Aube (10) :</w:t>
      </w:r>
    </w:p>
    <w:p>
      <w:pPr>
        <w:pStyle w:val="Compact"/>
        <w:numPr>
          <w:numId w:val="1004"/>
          <w:ilvl w:val="1"/>
        </w:numPr>
      </w:pPr>
      <w:r>
        <w:t xml:space="preserve">e-graine Grand Est à Chennegy</w:t>
      </w:r>
    </w:p>
    <w:p>
      <w:pPr>
        <w:pStyle w:val="Compact"/>
        <w:numPr>
          <w:numId w:val="1004"/>
          <w:ilvl w:val="1"/>
        </w:numPr>
      </w:pPr>
      <w:r>
        <w:t xml:space="preserve">Association Quai des Arts à Landreville</w:t>
      </w:r>
    </w:p>
    <w:p>
      <w:pPr>
        <w:pStyle w:val="Compact"/>
        <w:numPr>
          <w:numId w:val="1004"/>
          <w:ilvl w:val="1"/>
        </w:numPr>
      </w:pPr>
      <w:r>
        <w:t xml:space="preserve">Le Rucher Créatif à Troyes</w:t>
      </w:r>
    </w:p>
    <w:p>
      <w:pPr>
        <w:pStyle w:val="Compact"/>
        <w:numPr>
          <w:numId w:val="1002"/>
          <w:ilvl w:val="0"/>
        </w:numPr>
      </w:pPr>
      <w:r>
        <w:t xml:space="preserve">Marne (51) :</w:t>
      </w:r>
    </w:p>
    <w:p>
      <w:pPr>
        <w:pStyle w:val="Compact"/>
        <w:numPr>
          <w:numId w:val="1005"/>
          <w:ilvl w:val="1"/>
        </w:numPr>
      </w:pPr>
      <w:r>
        <w:t xml:space="preserve">JAZZUS PRODUCTIONS à Reims</w:t>
      </w:r>
    </w:p>
    <w:p>
      <w:pPr>
        <w:pStyle w:val="Compact"/>
        <w:numPr>
          <w:numId w:val="1002"/>
          <w:ilvl w:val="0"/>
        </w:numPr>
      </w:pPr>
      <w:r>
        <w:t xml:space="preserve">Haute-Marne (52) :</w:t>
      </w:r>
    </w:p>
    <w:p>
      <w:pPr>
        <w:pStyle w:val="Compact"/>
        <w:numPr>
          <w:numId w:val="1006"/>
          <w:ilvl w:val="1"/>
        </w:numPr>
      </w:pPr>
      <w:r>
        <w:t xml:space="preserve">SIMONE - camp d’entraînement artistique à Châteauvillain</w:t>
      </w:r>
    </w:p>
    <w:p>
      <w:pPr>
        <w:pStyle w:val="Compact"/>
        <w:numPr>
          <w:numId w:val="1006"/>
          <w:ilvl w:val="1"/>
        </w:numPr>
      </w:pPr>
      <w:r>
        <w:t xml:space="preserve">La Tour des Villains à Le Montsaugeonnais</w:t>
      </w:r>
    </w:p>
    <w:p>
      <w:pPr>
        <w:pStyle w:val="Compact"/>
        <w:numPr>
          <w:numId w:val="1006"/>
          <w:ilvl w:val="1"/>
        </w:numPr>
      </w:pPr>
      <w:r>
        <w:t xml:space="preserve">La Maison de Courcelles à Saint-Loup-sur-Aujon</w:t>
      </w:r>
    </w:p>
    <w:p>
      <w:pPr>
        <w:pStyle w:val="Compact"/>
        <w:numPr>
          <w:numId w:val="1002"/>
          <w:ilvl w:val="0"/>
        </w:numPr>
      </w:pPr>
      <w:r>
        <w:t xml:space="preserve">Meurthe-et-Moselle (54) :</w:t>
      </w:r>
    </w:p>
    <w:p>
      <w:pPr>
        <w:pStyle w:val="Compact"/>
        <w:numPr>
          <w:numId w:val="1007"/>
          <w:ilvl w:val="1"/>
        </w:numPr>
      </w:pPr>
      <w:r>
        <w:t xml:space="preserve">LES PETITS DÉBROUILLARDS GRAND EST à Maxéville</w:t>
      </w:r>
    </w:p>
    <w:p>
      <w:pPr>
        <w:pStyle w:val="Compact"/>
        <w:numPr>
          <w:numId w:val="1007"/>
          <w:ilvl w:val="1"/>
        </w:numPr>
      </w:pPr>
      <w:r>
        <w:t xml:space="preserve">Commune de Vandoeuvre-lès-Nancy à Vandœuvre-lès-Nancy</w:t>
      </w:r>
    </w:p>
    <w:p>
      <w:pPr>
        <w:pStyle w:val="Compact"/>
        <w:numPr>
          <w:numId w:val="1002"/>
          <w:ilvl w:val="0"/>
        </w:numPr>
      </w:pPr>
      <w:r>
        <w:t xml:space="preserve">Meuse (55) :</w:t>
      </w:r>
    </w:p>
    <w:p>
      <w:pPr>
        <w:pStyle w:val="Compact"/>
        <w:numPr>
          <w:numId w:val="1008"/>
          <w:ilvl w:val="1"/>
        </w:numPr>
      </w:pPr>
      <w:r>
        <w:t xml:space="preserve">Le Numéripôle à Bras-sur-Meuse</w:t>
      </w:r>
    </w:p>
    <w:p>
      <w:pPr>
        <w:pStyle w:val="Compact"/>
        <w:numPr>
          <w:numId w:val="1002"/>
          <w:ilvl w:val="0"/>
        </w:numPr>
      </w:pPr>
      <w:r>
        <w:t xml:space="preserve">Moselle (57) :</w:t>
      </w:r>
    </w:p>
    <w:p>
      <w:pPr>
        <w:pStyle w:val="Compact"/>
        <w:numPr>
          <w:numId w:val="1009"/>
          <w:ilvl w:val="1"/>
        </w:numPr>
      </w:pPr>
      <w:r>
        <w:t xml:space="preserve">Association la Passerelle à Metz</w:t>
      </w:r>
    </w:p>
    <w:p>
      <w:pPr>
        <w:pStyle w:val="Compact"/>
        <w:numPr>
          <w:numId w:val="1002"/>
          <w:ilvl w:val="0"/>
        </w:numPr>
      </w:pPr>
      <w:r>
        <w:t xml:space="preserve">Bas-Rhin (67) :</w:t>
      </w:r>
    </w:p>
    <w:p>
      <w:pPr>
        <w:pStyle w:val="Compact"/>
        <w:numPr>
          <w:numId w:val="1010"/>
          <w:ilvl w:val="1"/>
        </w:numPr>
      </w:pPr>
      <w:r>
        <w:t xml:space="preserve">Consortium TIX à Bischwiller</w:t>
      </w:r>
    </w:p>
    <w:p>
      <w:pPr>
        <w:pStyle w:val="Compact"/>
        <w:numPr>
          <w:numId w:val="1010"/>
          <w:ilvl w:val="1"/>
        </w:numPr>
      </w:pPr>
      <w:r>
        <w:t xml:space="preserve">La CabAnne des Créateurs à Schiltigheim</w:t>
      </w:r>
    </w:p>
    <w:p>
      <w:pPr>
        <w:pStyle w:val="Compact"/>
        <w:numPr>
          <w:numId w:val="1010"/>
          <w:ilvl w:val="1"/>
        </w:numPr>
      </w:pPr>
      <w:r>
        <w:t xml:space="preserve">ARTEFACT PRL à Strasbourg</w:t>
      </w:r>
    </w:p>
    <w:p>
      <w:pPr>
        <w:pStyle w:val="Compact"/>
        <w:numPr>
          <w:numId w:val="1010"/>
          <w:ilvl w:val="1"/>
        </w:numPr>
      </w:pPr>
      <w:r>
        <w:t xml:space="preserve">Centre Social et Culturel du Neuhof à Strasbourg</w:t>
      </w:r>
    </w:p>
    <w:p>
      <w:pPr>
        <w:pStyle w:val="Compact"/>
        <w:numPr>
          <w:numId w:val="1002"/>
          <w:ilvl w:val="0"/>
        </w:numPr>
      </w:pPr>
      <w:r>
        <w:t xml:space="preserve">Haut-Rhin (68) :</w:t>
      </w:r>
    </w:p>
    <w:p>
      <w:pPr>
        <w:pStyle w:val="Compact"/>
        <w:numPr>
          <w:numId w:val="1011"/>
          <w:ilvl w:val="1"/>
        </w:numPr>
      </w:pPr>
      <w:r>
        <w:t xml:space="preserve">Collectif Or du commun à Andolsheim</w:t>
      </w:r>
    </w:p>
    <w:p>
      <w:pPr>
        <w:pStyle w:val="Compact"/>
        <w:numPr>
          <w:numId w:val="1011"/>
          <w:ilvl w:val="1"/>
        </w:numPr>
      </w:pPr>
      <w:r>
        <w:t xml:space="preserve">Tubà Mulhouse à Mulhouse</w:t>
      </w:r>
    </w:p>
    <w:p>
      <w:pPr>
        <w:pStyle w:val="Compact"/>
        <w:numPr>
          <w:numId w:val="1002"/>
          <w:ilvl w:val="0"/>
        </w:numPr>
      </w:pPr>
      <w:r>
        <w:t xml:space="preserve">Vosges (88) :</w:t>
      </w:r>
    </w:p>
    <w:p>
      <w:pPr>
        <w:pStyle w:val="Compact"/>
        <w:numPr>
          <w:numId w:val="1012"/>
          <w:ilvl w:val="1"/>
        </w:numPr>
      </w:pPr>
      <w:r>
        <w:t xml:space="preserve">La Vigotte Lab à Girmont-Val-d’Ajol</w:t>
      </w:r>
    </w:p>
    <w:p>
      <w:pPr>
        <w:pStyle w:val="Titre2"/>
      </w:pPr>
      <w:bookmarkStart w:id="24" w:name="manufactures-de-proximité"/>
      <w:r>
        <w:t xml:space="preserve">Manufactures de proximité</w:t>
      </w:r>
      <w:bookmarkEnd w:id="24"/>
    </w:p>
    <w:p>
      <w:pPr>
        <w:pStyle w:val="FirstParagraph"/>
      </w:pPr>
      <w:r>
        <w:t xml:space="preserve">L’AMI Manufactures de proximité a été lancé le 7 octobre 2021, pour une clôture définitive le 3 mars 2022.</w:t>
      </w:r>
    </w:p>
    <w:p>
      <w:pPr>
        <w:pStyle w:val="Corpsdetexte"/>
      </w:pPr>
      <w:r>
        <w:t xml:space="preserve">À date (12 septembre 2024), ce sont 99 Manufactures de proximité qui ont été labellisées, dont 8 dans la région :</w:t>
      </w:r>
    </w:p>
    <w:p>
      <w:pPr>
        <w:pStyle w:val="Compact"/>
        <w:numPr>
          <w:numId w:val="1013"/>
          <w:ilvl w:val="0"/>
        </w:numPr>
      </w:pPr>
      <w:r>
        <w:t xml:space="preserve">Ateliers partagés de la Macérienne (Charleville-Mézières)</w:t>
      </w:r>
    </w:p>
    <w:p>
      <w:pPr>
        <w:pStyle w:val="Compact"/>
        <w:numPr>
          <w:numId w:val="1013"/>
          <w:ilvl w:val="0"/>
        </w:numPr>
      </w:pPr>
      <w:r>
        <w:t xml:space="preserve">BLIIIDA, Les Ateliers (Metz)</w:t>
      </w:r>
    </w:p>
    <w:p>
      <w:pPr>
        <w:pStyle w:val="Compact"/>
        <w:numPr>
          <w:numId w:val="1013"/>
          <w:ilvl w:val="0"/>
        </w:numPr>
      </w:pPr>
      <w:r>
        <w:t xml:space="preserve">Extension HOLYWOOD (Neufchâteau)</w:t>
      </w:r>
    </w:p>
    <w:p>
      <w:pPr>
        <w:pStyle w:val="Compact"/>
        <w:numPr>
          <w:numId w:val="1013"/>
          <w:ilvl w:val="0"/>
        </w:numPr>
      </w:pPr>
      <w:r>
        <w:t xml:space="preserve">L’Atelier de la Gare (Maizières-lès-Vic)</w:t>
      </w:r>
    </w:p>
    <w:p>
      <w:pPr>
        <w:pStyle w:val="Compact"/>
        <w:numPr>
          <w:numId w:val="1013"/>
          <w:ilvl w:val="0"/>
        </w:numPr>
      </w:pPr>
      <w:r>
        <w:t xml:space="preserve">LA PETITE MANCHESTER (Mulhouse)</w:t>
      </w:r>
    </w:p>
    <w:p>
      <w:pPr>
        <w:pStyle w:val="Compact"/>
        <w:numPr>
          <w:numId w:val="1013"/>
          <w:ilvl w:val="0"/>
        </w:numPr>
      </w:pPr>
      <w:r>
        <w:t xml:space="preserve">La Cité du Faire (Jarville-la-Malgrange)</w:t>
      </w:r>
    </w:p>
    <w:p>
      <w:pPr>
        <w:pStyle w:val="Compact"/>
        <w:numPr>
          <w:numId w:val="1013"/>
          <w:ilvl w:val="0"/>
        </w:numPr>
      </w:pPr>
      <w:r>
        <w:t xml:space="preserve">La Manufacture du Saintois (Xirocourt)</w:t>
      </w:r>
    </w:p>
    <w:p>
      <w:pPr>
        <w:pStyle w:val="Compact"/>
        <w:numPr>
          <w:numId w:val="1013"/>
          <w:ilvl w:val="0"/>
        </w:numPr>
      </w:pPr>
      <w:r>
        <w:t xml:space="preserve">Manufacture Numérique de la Déodatie (Saint-Dié-des-Vosges)</w:t>
      </w:r>
    </w:p>
    <w:p>
      <w:pPr>
        <w:pStyle w:val="Titre2"/>
      </w:pPr>
      <w:bookmarkStart w:id="25" w:name="hubs-territoriaux"/>
      <w:r>
        <w:t xml:space="preserve">Hubs Territoriaux</w:t>
      </w:r>
      <w:bookmarkEnd w:id="25"/>
    </w:p>
    <w:p>
      <w:pPr>
        <w:pStyle w:val="FirstParagraph"/>
      </w:pPr>
      <w:r>
        <w:t xml:space="preserve">La totalité du territoire est couverte en hubs.</w:t>
      </w:r>
    </w:p>
    <w:p>
      <w:pPr>
        <w:pStyle w:val="Corpsdetexte"/>
      </w:pPr>
      <w:r>
        <w:t xml:space="preserve">La région Grand Est</w:t>
      </w:r>
      <w:r>
        <w:t xml:space="preserve"> </w:t>
      </w:r>
      <w:r>
        <w:t xml:space="preserve">est couverte</w:t>
      </w:r>
      <w:r>
        <w:t xml:space="preserve"> </w:t>
      </w:r>
      <w:r>
        <w:t xml:space="preserve">par le hub « Grand Est »</w:t>
      </w:r>
      <w:r>
        <w:t xml:space="preserve"> </w:t>
      </w:r>
      <w:r>
        <w:t xml:space="preserve">n’est pas couverte par un hub</w:t>
      </w:r>
      <w:r>
        <w:t xml:space="preserve"> </w:t>
      </w:r>
      <w:r>
        <w:t xml:space="preserve">.</w:t>
      </w:r>
    </w:p>
    <w:p>
      <w:pPr>
        <w:pStyle w:val="Titre2"/>
      </w:pPr>
      <w:bookmarkStart w:id="26" w:name="conseillers-numériques"/>
      <w:r>
        <w:t xml:space="preserve">Conseillers numériques</w:t>
      </w:r>
      <w:bookmarkEnd w:id="26"/>
    </w:p>
    <w:p>
      <w:pPr>
        <w:pStyle w:val="Compact"/>
        <w:numPr>
          <w:numId w:val="1014"/>
          <w:ilvl w:val="0"/>
        </w:numPr>
      </w:pPr>
      <w:r>
        <w:t xml:space="preserve">310 CNFS validés dans 211 structures d’accueil</w:t>
      </w:r>
    </w:p>
    <w:p>
      <w:pPr>
        <w:pStyle w:val="Compact"/>
        <w:numPr>
          <w:numId w:val="1014"/>
          <w:ilvl w:val="0"/>
        </w:numPr>
      </w:pPr>
      <w:r>
        <w:t xml:space="preserve">250 CNFS recrutés</w:t>
      </w:r>
    </w:p>
    <w:p>
      <w:pPr>
        <w:pStyle w:val="Compact"/>
        <w:numPr>
          <w:numId w:val="1014"/>
          <w:ilvl w:val="0"/>
        </w:numPr>
      </w:pPr>
      <w:r>
        <w:t xml:space="preserve">2 CNFS en formation</w:t>
      </w:r>
    </w:p>
    <w:p>
      <w:pPr>
        <w:pStyle w:val="Compact"/>
        <w:numPr>
          <w:numId w:val="1014"/>
          <w:ilvl w:val="0"/>
        </w:numPr>
      </w:pPr>
      <w:r>
        <w:t xml:space="preserve">196 CNFS en poste</w:t>
      </w:r>
    </w:p>
    <w:p>
      <w:pPr>
        <w:pStyle w:val="Titre2"/>
      </w:pPr>
      <w:bookmarkStart w:id="27" w:name="aidants-connect"/>
      <w:r>
        <w:t xml:space="preserve">Aidants connect</w:t>
      </w:r>
      <w:bookmarkEnd w:id="27"/>
    </w:p>
    <w:p>
      <w:pPr>
        <w:pStyle w:val="FirstParagraph"/>
      </w:pPr>
      <w:r>
        <w:t xml:space="preserve">Aidants connect est un service public numérique qui sécurise et facilite le</w:t>
      </w:r>
      <w:r>
        <w:t xml:space="preserve"> </w:t>
      </w:r>
      <w:r>
        <w:t xml:space="preserve">« faire pour le compte de ». Il est notamment déployé auprès des</w:t>
      </w:r>
      <w:r>
        <w:t xml:space="preserve"> </w:t>
      </w:r>
      <w:r>
        <w:t xml:space="preserve">travailleurs sociaux, les agents publics d’accueil ou les médiateurs</w:t>
      </w:r>
      <w:r>
        <w:t xml:space="preserve"> </w:t>
      </w:r>
      <w:r>
        <w:t xml:space="preserve">numériques pour accompagner les citoyens qui n’arrivent pas à faire seuls</w:t>
      </w:r>
      <w:r>
        <w:t xml:space="preserve"> </w:t>
      </w:r>
      <w:r>
        <w:t xml:space="preserve">leurs démarches administratives en ligne.</w:t>
      </w:r>
    </w:p>
    <w:p>
      <w:pPr>
        <w:pStyle w:val="Corpsdetexte"/>
      </w:pPr>
      <w:r>
        <w:t xml:space="preserve">État des déploiements dans la région :</w:t>
      </w:r>
    </w:p>
    <w:p>
      <w:pPr>
        <w:pStyle w:val="Compact"/>
        <w:numPr>
          <w:numId w:val="1015"/>
          <w:ilvl w:val="0"/>
        </w:numPr>
      </w:pPr>
      <w:r>
        <w:t xml:space="preserve">422 structures candidates</w:t>
      </w:r>
    </w:p>
    <w:p>
      <w:pPr>
        <w:pStyle w:val="Compact"/>
        <w:numPr>
          <w:numId w:val="1015"/>
          <w:ilvl w:val="0"/>
        </w:numPr>
      </w:pPr>
      <w:r>
        <w:t xml:space="preserve">1360 aidants à habiliter au total</w:t>
      </w:r>
    </w:p>
    <w:p>
      <w:pPr>
        <w:pStyle w:val="Compact"/>
        <w:numPr>
          <w:numId w:val="1015"/>
          <w:ilvl w:val="0"/>
        </w:numPr>
      </w:pPr>
      <w:r>
        <w:t xml:space="preserve">389 structures ont finalisé leur habilitation (1136 aidants formés au 16 septembre 2024)</w:t>
      </w:r>
    </w:p>
    <w:p>
      <w:pPr>
        <w:pStyle w:val="Titre2"/>
      </w:pPr>
      <w:bookmarkStart w:id="28" w:name="bases-adresses-locales"/>
      <w:r>
        <w:t xml:space="preserve">Bases adresses locales</w:t>
      </w:r>
      <w:bookmarkEnd w:id="28"/>
    </w:p>
    <w:p>
      <w:pPr>
        <w:pStyle w:val="FirstParagraph"/>
      </w:pPr>
      <w:r>
        <w:t xml:space="preserve">2179 communes de la région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29" w:name="fraîcheur-des-données"/>
      <w:r>
        <w:t xml:space="preserve">Fraîcheur des données</w:t>
      </w:r>
      <w:bookmarkEnd w:id="29"/>
    </w:p>
    <w:p>
      <w:pPr>
        <w:pStyle w:val="FirstParagraph"/>
      </w:pPr>
      <w:r>
        <w:t xml:space="preserve">Fiche générée le 19 septembre 2024 à 04:17.</w:t>
      </w:r>
    </w:p>
    <w:p>
      <w:pPr>
        <w:pStyle w:val="Corpsdetexte"/>
      </w:pPr>
      <w:r>
        <w:t xml:space="preserve">Les sources de données suivantes ont été utilisées :</w:t>
      </w:r>
    </w:p>
    <w:p>
      <w:pPr>
        <w:pStyle w:val="Compact"/>
        <w:numPr>
          <w:numId w:val="1016"/>
          <w:ilvl w:val="0"/>
        </w:numPr>
      </w:pPr>
      <w:r>
        <w:t xml:space="preserve">Aidants Connect : dernière mise à jour 16 septembre 2024</w:t>
      </w:r>
    </w:p>
    <w:p>
      <w:pPr>
        <w:pStyle w:val="Compact"/>
        <w:numPr>
          <w:numId w:val="1016"/>
          <w:ilvl w:val="0"/>
        </w:numPr>
      </w:pPr>
      <w:r>
        <w:t xml:space="preserve">Arcep – Technologies par commune : dernière mise à jour 05 avril 2024</w:t>
      </w:r>
    </w:p>
    <w:p>
      <w:pPr>
        <w:pStyle w:val="Compact"/>
        <w:numPr>
          <w:numId w:val="1016"/>
          <w:ilvl w:val="0"/>
        </w:numPr>
      </w:pPr>
      <w:r>
        <w:t xml:space="preserve">Conseillers numériques : dernière mise à jour 19 septembre 2024</w:t>
      </w:r>
    </w:p>
    <w:p>
      <w:pPr>
        <w:pStyle w:val="Compact"/>
        <w:numPr>
          <w:numId w:val="1016"/>
          <w:ilvl w:val="0"/>
        </w:numPr>
      </w:pPr>
      <w:r>
        <w:t xml:space="preserve">Fabriques de Territoire : dernière mise à jour 12 septembre 2024</w:t>
      </w:r>
    </w:p>
    <w:p>
      <w:pPr>
        <w:pStyle w:val="Compact"/>
        <w:numPr>
          <w:numId w:val="1016"/>
          <w:ilvl w:val="0"/>
        </w:numPr>
      </w:pPr>
      <w:r>
        <w:t xml:space="preserve">France Mobile : dernière mise à jour 31 mai 2024</w:t>
      </w:r>
    </w:p>
    <w:p>
      <w:pPr>
        <w:pStyle w:val="Compact"/>
        <w:numPr>
          <w:numId w:val="1016"/>
          <w:ilvl w:val="0"/>
        </w:numPr>
      </w:pPr>
      <w:r>
        <w:t xml:space="preserve">Hubs territoriaux</w:t>
      </w:r>
    </w:p>
    <w:p>
      <w:pPr>
        <w:pStyle w:val="Compact"/>
        <w:numPr>
          <w:numId w:val="1016"/>
          <w:ilvl w:val="0"/>
        </w:numPr>
      </w:pPr>
      <w:r>
        <w:t xml:space="preserve">Manufactures de proximité : dernière mise à jour 12 septembre 2024</w:t>
      </w:r>
    </w:p>
    <w:p>
      <w:pPr>
        <w:pStyle w:val="Compact"/>
        <w:numPr>
          <w:numId w:val="1016"/>
          <w:ilvl w:val="0"/>
        </w:numPr>
      </w:pPr>
      <w:r>
        <w:t xml:space="preserve">Structures d’accueil conseillers numériques : dernière mise à jour 19 septembre 2024</w:t>
      </w:r>
    </w:p>
    <w:p>
      <w:pPr>
        <w:pStyle w:val="Compact"/>
        <w:numPr>
          <w:numId w:val="1016"/>
          <w:ilvl w:val="0"/>
        </w:numPr>
      </w:pPr>
      <w:r>
        <w:t xml:space="preserve">Suivi Bases adresses locales</w:t>
      </w:r>
    </w:p>
    <w:p>
      <w:pPr>
        <w:pStyle w:val="Compact"/>
        <w:numPr>
          <w:numId w:val="101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2024-09-19T02:17:25Z</dcterms:created>
  <dcterms:modified xsi:type="dcterms:W3CDTF">2024-09-19T02:17:25Z</dcterms:modified>
</cp:coreProperties>
</file>

<file path=docProps/custom.xml><?xml version="1.0" encoding="utf-8"?>
<Properties xmlns="http://schemas.openxmlformats.org/officeDocument/2006/custom-properties" xmlns:vt="http://schemas.openxmlformats.org/officeDocument/2006/docPropsVTypes"/>
</file>