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hauts-de-france"/>
      <w:r>
        <w:t xml:space="preserve">Numérique « Hauts-de-France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Hauts-de-France, 208 sites ont été identifiés,</w:t>
      </w:r>
      <w:r>
        <w:t xml:space="preserve"> </w:t>
      </w:r>
      <w:r>
        <w:t xml:space="preserve">parmi lesquels 139 ont d’ores et déjà été mis en service.</w:t>
      </w:r>
    </w:p>
    <w:p>
      <w:pPr>
        <w:pStyle w:val="Corpsdetexte"/>
      </w:pPr>
      <w:r>
        <w:t xml:space="preserve">Dans le cadre du dispositif 4G fixe, dans la région Hauts-de-France,</w:t>
      </w:r>
      <w:r>
        <w:t xml:space="preserve"> </w:t>
      </w:r>
      <w:r>
        <w:t xml:space="preserve">42 sites ont été identifiés,</w:t>
      </w:r>
      <w:r>
        <w:t xml:space="preserve"> </w:t>
      </w:r>
      <w:r>
        <w:t xml:space="preserve">et 40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4 initiatives complémentaires :</w:t>
      </w:r>
    </w:p>
    <w:p>
      <w:pPr>
        <w:pStyle w:val="Compact"/>
        <w:numPr>
          <w:numId w:val="1001"/>
          <w:ilvl w:val="0"/>
        </w:numPr>
      </w:pPr>
      <w:r>
        <w:t xml:space="preserve">L’initiative privée des opérateurs dans la zone très dense, qui comprend 2 communes ;</w:t>
      </w:r>
    </w:p>
    <w:p>
      <w:pPr>
        <w:pStyle w:val="Compact"/>
        <w:numPr>
          <w:numId w:val="1001"/>
          <w:ilvl w:val="0"/>
        </w:numPr>
      </w:pPr>
      <w:r>
        <w:t xml:space="preserve">celle de XP Fibre sur 2 communes ;</w:t>
      </w:r>
    </w:p>
    <w:p>
      <w:pPr>
        <w:pStyle w:val="Compact"/>
        <w:numPr>
          <w:numId w:val="1001"/>
          <w:ilvl w:val="0"/>
        </w:numPr>
      </w:pPr>
      <w:r>
        <w:t xml:space="preserve">celle de Orange et XP Fibre sur 543 communes ;</w:t>
      </w:r>
    </w:p>
    <w:p>
      <w:pPr>
        <w:pStyle w:val="Compact"/>
        <w:numPr>
          <w:numId w:val="1001"/>
          <w:ilvl w:val="0"/>
        </w:numPr>
      </w:pPr>
      <w:r>
        <w:t xml:space="preserve">celle de La Fibre Numérique 5962, Oise THD, Somme Numérique et USEDA dans la zone d’initiative publique qui comprend 3241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179 836</w:t>
            </w:r>
            <w:r>
              <w:t xml:space="preserve"> </w:t>
            </w:r>
            <w:r>
              <w:rPr>
                <w:i/>
              </w:rPr>
              <w:t xml:space="preserve">5.0%</w:t>
            </w:r>
          </w:p>
        </w:tc>
        <w:tc>
          <w:p>
            <w:pPr>
              <w:pStyle w:val="Compact"/>
              <w:jc w:val="left"/>
            </w:pPr>
            <w:r>
              <w:t xml:space="preserve">159 711</w:t>
            </w:r>
            <w:r>
              <w:t xml:space="preserve"> </w:t>
            </w:r>
            <w:r>
              <w:rPr>
                <w:i/>
              </w:rPr>
              <w:t xml:space="preserve">89.0%</w:t>
            </w:r>
          </w:p>
        </w:tc>
      </w:tr>
      <w:tr>
        <w:tc>
          <w:p>
            <w:pPr>
              <w:pStyle w:val="Compact"/>
              <w:jc w:val="left"/>
            </w:pPr>
            <w:r>
              <w:t xml:space="preserve">Zone AMEL / fonds propres</w:t>
            </w:r>
          </w:p>
        </w:tc>
        <w:tc>
          <w:p>
            <w:pPr>
              <w:pStyle w:val="Compact"/>
              <w:jc w:val="left"/>
            </w:pPr>
            <w:r>
              <w:t xml:space="preserve">4 694</w:t>
            </w:r>
            <w:r>
              <w:t xml:space="preserve"> </w:t>
            </w:r>
            <w:r>
              <w:rPr>
                <w:i/>
              </w:rPr>
              <w:t xml:space="preserve">0.0%</w:t>
            </w:r>
          </w:p>
        </w:tc>
        <w:tc>
          <w:p>
            <w:pPr>
              <w:pStyle w:val="Compact"/>
              <w:jc w:val="left"/>
            </w:pPr>
            <w:r>
              <w:t xml:space="preserve">4 689</w:t>
            </w:r>
            <w:r>
              <w:t xml:space="preserve"> </w:t>
            </w:r>
            <w:r>
              <w:rPr>
                <w:i/>
              </w:rPr>
              <w:t xml:space="preserve">100.0%</w:t>
            </w:r>
          </w:p>
        </w:tc>
      </w:tr>
      <w:tr>
        <w:tc>
          <w:p>
            <w:pPr>
              <w:pStyle w:val="Compact"/>
              <w:jc w:val="left"/>
            </w:pPr>
            <w:r>
              <w:t xml:space="preserve">Zone AMII</w:t>
            </w:r>
          </w:p>
        </w:tc>
        <w:tc>
          <w:p>
            <w:pPr>
              <w:pStyle w:val="Compact"/>
              <w:jc w:val="left"/>
            </w:pPr>
            <w:r>
              <w:t xml:space="preserve">1 758 234</w:t>
            </w:r>
            <w:r>
              <w:t xml:space="preserve"> </w:t>
            </w:r>
            <w:r>
              <w:rPr>
                <w:i/>
              </w:rPr>
              <w:t xml:space="preserve">52.0%</w:t>
            </w:r>
          </w:p>
        </w:tc>
        <w:tc>
          <w:p>
            <w:pPr>
              <w:pStyle w:val="Compact"/>
              <w:jc w:val="left"/>
            </w:pPr>
            <w:r>
              <w:t xml:space="preserve">1 647 084</w:t>
            </w:r>
            <w:r>
              <w:t xml:space="preserve"> </w:t>
            </w:r>
            <w:r>
              <w:rPr>
                <w:i/>
              </w:rPr>
              <w:t xml:space="preserve">94.0%</w:t>
            </w:r>
          </w:p>
        </w:tc>
      </w:tr>
      <w:tr>
        <w:tc>
          <w:p>
            <w:pPr>
              <w:pStyle w:val="Compact"/>
              <w:jc w:val="left"/>
            </w:pPr>
            <w:r>
              <w:t xml:space="preserve">Zone RIP</w:t>
            </w:r>
          </w:p>
        </w:tc>
        <w:tc>
          <w:p>
            <w:pPr>
              <w:pStyle w:val="Compact"/>
              <w:jc w:val="left"/>
            </w:pPr>
            <w:r>
              <w:t xml:space="preserve">1 417 646</w:t>
            </w:r>
            <w:r>
              <w:t xml:space="preserve"> </w:t>
            </w:r>
            <w:r>
              <w:rPr>
                <w:i/>
              </w:rPr>
              <w:t xml:space="preserve">42.0%</w:t>
            </w:r>
          </w:p>
        </w:tc>
        <w:tc>
          <w:p>
            <w:pPr>
              <w:pStyle w:val="Compact"/>
              <w:jc w:val="left"/>
            </w:pPr>
            <w:r>
              <w:t xml:space="preserve">1 345 380</w:t>
            </w:r>
            <w:r>
              <w:t xml:space="preserve"> </w:t>
            </w:r>
            <w:r>
              <w:rPr>
                <w:i/>
              </w:rPr>
              <w:t xml:space="preserve">95.0%</w:t>
            </w:r>
          </w:p>
        </w:tc>
      </w:tr>
      <w:tr>
        <w:tc>
          <w:p>
            <w:pPr>
              <w:pStyle w:val="Compact"/>
              <w:jc w:val="left"/>
            </w:pPr>
            <w:r>
              <w:rPr>
                <w:b/>
              </w:rPr>
              <w:t xml:space="preserve">Total</w:t>
            </w:r>
          </w:p>
        </w:tc>
        <w:tc>
          <w:p>
            <w:pPr>
              <w:pStyle w:val="Compact"/>
              <w:jc w:val="left"/>
            </w:pPr>
            <w:r>
              <w:t xml:space="preserve">3 360 410</w:t>
            </w:r>
            <w:r>
              <w:t xml:space="preserve"> </w:t>
            </w:r>
            <w:r>
              <w:rPr>
                <w:i/>
              </w:rPr>
              <w:t xml:space="preserve">100%</w:t>
            </w:r>
          </w:p>
        </w:tc>
        <w:tc>
          <w:p>
            <w:pPr>
              <w:pStyle w:val="Compact"/>
              <w:jc w:val="left"/>
            </w:pPr>
            <w:r>
              <w:t xml:space="preserve">3 156 864</w:t>
            </w:r>
            <w:r>
              <w:t xml:space="preserve"> </w:t>
            </w:r>
            <w:r>
              <w:rPr>
                <w:i/>
              </w:rPr>
              <w:t xml:space="preserve">94.0%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21 en région Hauts-de-France :</w:t>
      </w:r>
    </w:p>
    <w:p>
      <w:pPr>
        <w:pStyle w:val="Compact"/>
        <w:numPr>
          <w:numId w:val="1002"/>
          <w:ilvl w:val="0"/>
        </w:numPr>
      </w:pPr>
      <w:r>
        <w:t xml:space="preserve">Aisne (02) :</w:t>
      </w:r>
    </w:p>
    <w:p>
      <w:pPr>
        <w:pStyle w:val="Compact"/>
        <w:numPr>
          <w:numId w:val="1003"/>
          <w:ilvl w:val="1"/>
        </w:numPr>
      </w:pPr>
      <w:r>
        <w:t xml:space="preserve">Communauté de Communes Thiérache Sambre et Oise à Guise</w:t>
      </w:r>
    </w:p>
    <w:p>
      <w:pPr>
        <w:pStyle w:val="Compact"/>
        <w:numPr>
          <w:numId w:val="1003"/>
          <w:ilvl w:val="1"/>
        </w:numPr>
      </w:pPr>
      <w:r>
        <w:t xml:space="preserve">GRANDSOISSONS AGGLOMERATION à Soissons</w:t>
      </w:r>
    </w:p>
    <w:p>
      <w:pPr>
        <w:pStyle w:val="Compact"/>
        <w:numPr>
          <w:numId w:val="1002"/>
          <w:ilvl w:val="0"/>
        </w:numPr>
      </w:pPr>
      <w:r>
        <w:t xml:space="preserve">Nord (59) :</w:t>
      </w:r>
    </w:p>
    <w:p>
      <w:pPr>
        <w:pStyle w:val="Compact"/>
        <w:numPr>
          <w:numId w:val="1004"/>
          <w:ilvl w:val="1"/>
        </w:numPr>
      </w:pPr>
      <w:r>
        <w:t xml:space="preserve">Association LA PETITE PIERRE à Coudekerque-Branche</w:t>
      </w:r>
    </w:p>
    <w:p>
      <w:pPr>
        <w:pStyle w:val="Compact"/>
        <w:numPr>
          <w:numId w:val="1004"/>
          <w:ilvl w:val="1"/>
        </w:numPr>
      </w:pPr>
      <w:r>
        <w:t xml:space="preserve">Ville de Fourmies à Fourmies</w:t>
      </w:r>
    </w:p>
    <w:p>
      <w:pPr>
        <w:pStyle w:val="Compact"/>
        <w:numPr>
          <w:numId w:val="1004"/>
          <w:ilvl w:val="1"/>
        </w:numPr>
      </w:pPr>
      <w:r>
        <w:t xml:space="preserve">POP à Lille</w:t>
      </w:r>
    </w:p>
    <w:p>
      <w:pPr>
        <w:pStyle w:val="Compact"/>
        <w:numPr>
          <w:numId w:val="1004"/>
          <w:ilvl w:val="1"/>
        </w:numPr>
      </w:pPr>
      <w:r>
        <w:t xml:space="preserve">Efficience, Solidaire et Créative à Maubeuge</w:t>
      </w:r>
    </w:p>
    <w:p>
      <w:pPr>
        <w:pStyle w:val="Compact"/>
        <w:numPr>
          <w:numId w:val="1004"/>
          <w:ilvl w:val="1"/>
        </w:numPr>
      </w:pPr>
      <w:r>
        <w:t xml:space="preserve">LA CONDITION PUBLIQUE EPCC à Roubaix</w:t>
      </w:r>
    </w:p>
    <w:p>
      <w:pPr>
        <w:pStyle w:val="Compact"/>
        <w:numPr>
          <w:numId w:val="1004"/>
          <w:ilvl w:val="1"/>
        </w:numPr>
      </w:pPr>
      <w:r>
        <w:t xml:space="preserve">Société coopérative d’intérêt collectif à responsabilité limitée Coopérative Baraka à Roubaix</w:t>
      </w:r>
    </w:p>
    <w:p>
      <w:pPr>
        <w:pStyle w:val="Compact"/>
        <w:numPr>
          <w:numId w:val="1004"/>
          <w:ilvl w:val="1"/>
        </w:numPr>
      </w:pPr>
      <w:r>
        <w:t xml:space="preserve">ESS TEAM à Tourcoing</w:t>
      </w:r>
    </w:p>
    <w:p>
      <w:pPr>
        <w:pStyle w:val="Compact"/>
        <w:numPr>
          <w:numId w:val="1002"/>
          <w:ilvl w:val="0"/>
        </w:numPr>
      </w:pPr>
      <w:r>
        <w:t xml:space="preserve">Oise (60) :</w:t>
      </w:r>
    </w:p>
    <w:p>
      <w:pPr>
        <w:pStyle w:val="Compact"/>
        <w:numPr>
          <w:numId w:val="1005"/>
          <w:ilvl w:val="1"/>
        </w:numPr>
      </w:pPr>
      <w:r>
        <w:t xml:space="preserve">Hermitage à Autrêches</w:t>
      </w:r>
    </w:p>
    <w:p>
      <w:pPr>
        <w:pStyle w:val="Compact"/>
        <w:numPr>
          <w:numId w:val="1005"/>
          <w:ilvl w:val="1"/>
        </w:numPr>
      </w:pPr>
      <w:r>
        <w:t xml:space="preserve">SCIC Maison d’économie solidaire du Bray à Lachapelle-aux-Pots</w:t>
      </w:r>
    </w:p>
    <w:p>
      <w:pPr>
        <w:pStyle w:val="Compact"/>
        <w:numPr>
          <w:numId w:val="1005"/>
          <w:ilvl w:val="1"/>
        </w:numPr>
      </w:pPr>
      <w:r>
        <w:t xml:space="preserve">Association pour l’animation du Bord de l’Eau à Margny-lès-Compiègne</w:t>
      </w:r>
    </w:p>
    <w:p>
      <w:pPr>
        <w:pStyle w:val="Compact"/>
        <w:numPr>
          <w:numId w:val="1002"/>
          <w:ilvl w:val="0"/>
        </w:numPr>
      </w:pPr>
      <w:r>
        <w:t xml:space="preserve">Pas-de-Calais (62) :</w:t>
      </w:r>
    </w:p>
    <w:p>
      <w:pPr>
        <w:pStyle w:val="Compact"/>
        <w:numPr>
          <w:numId w:val="1006"/>
          <w:ilvl w:val="1"/>
        </w:numPr>
      </w:pPr>
      <w:r>
        <w:t xml:space="preserve">Association Le Germoir / La MARmeet à Ambricourt</w:t>
      </w:r>
    </w:p>
    <w:p>
      <w:pPr>
        <w:pStyle w:val="Compact"/>
        <w:numPr>
          <w:numId w:val="1006"/>
          <w:ilvl w:val="1"/>
        </w:numPr>
      </w:pPr>
      <w:r>
        <w:t xml:space="preserve">Communauté de Communes des Campagnes de l’Artois à Avesnes-le-Comte</w:t>
      </w:r>
    </w:p>
    <w:p>
      <w:pPr>
        <w:pStyle w:val="Compact"/>
        <w:numPr>
          <w:numId w:val="1006"/>
          <w:ilvl w:val="1"/>
        </w:numPr>
      </w:pPr>
      <w:r>
        <w:t xml:space="preserve">Mairie de Grenay à Grenay</w:t>
      </w:r>
    </w:p>
    <w:p>
      <w:pPr>
        <w:pStyle w:val="Compact"/>
        <w:numPr>
          <w:numId w:val="1006"/>
          <w:ilvl w:val="1"/>
        </w:numPr>
      </w:pPr>
      <w:r>
        <w:t xml:space="preserve">Les Anges Gardins à Loos-en-Gohelle</w:t>
      </w:r>
    </w:p>
    <w:p>
      <w:pPr>
        <w:pStyle w:val="Compact"/>
        <w:numPr>
          <w:numId w:val="1006"/>
          <w:ilvl w:val="1"/>
        </w:numPr>
      </w:pPr>
      <w:r>
        <w:t xml:space="preserve">La Chartreuse de Neuville à Neuville-sous-Montreuil</w:t>
      </w:r>
    </w:p>
    <w:p>
      <w:pPr>
        <w:pStyle w:val="Compact"/>
        <w:numPr>
          <w:numId w:val="1006"/>
          <w:ilvl w:val="1"/>
        </w:numPr>
      </w:pPr>
      <w:r>
        <w:t xml:space="preserve">La Station, Écosystème d’Innovation et d’entrepreneuriat à Saint-Omer</w:t>
      </w:r>
    </w:p>
    <w:p>
      <w:pPr>
        <w:pStyle w:val="Compact"/>
        <w:numPr>
          <w:numId w:val="1006"/>
          <w:ilvl w:val="1"/>
        </w:numPr>
      </w:pPr>
      <w:r>
        <w:t xml:space="preserve">Communauté d’Agglomération des deux Baies en Montreuillois (CA2BM) à Étaples</w:t>
      </w:r>
    </w:p>
    <w:p>
      <w:pPr>
        <w:pStyle w:val="Compact"/>
        <w:numPr>
          <w:numId w:val="1002"/>
          <w:ilvl w:val="0"/>
        </w:numPr>
      </w:pPr>
      <w:r>
        <w:t xml:space="preserve">Somme (80) :</w:t>
      </w:r>
    </w:p>
    <w:p>
      <w:pPr>
        <w:pStyle w:val="Compact"/>
        <w:numPr>
          <w:numId w:val="1007"/>
          <w:ilvl w:val="1"/>
        </w:numPr>
      </w:pPr>
      <w:r>
        <w:t xml:space="preserve">La Machinerie à Amiens</w:t>
      </w:r>
    </w:p>
    <w:p>
      <w:pPr>
        <w:pStyle w:val="Compact"/>
        <w:numPr>
          <w:numId w:val="1007"/>
          <w:ilvl w:val="1"/>
        </w:numPr>
      </w:pPr>
      <w:r>
        <w:t xml:space="preserve">COMMUNAUTÉ DE COMMUNES DE LA HAUTE SOMME à Péronne</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5 dans la région :</w:t>
      </w:r>
    </w:p>
    <w:p>
      <w:pPr>
        <w:pStyle w:val="Compact"/>
        <w:numPr>
          <w:numId w:val="1008"/>
          <w:ilvl w:val="0"/>
        </w:numPr>
      </w:pPr>
      <w:r>
        <w:t xml:space="preserve">L’Art’elier du Coquelicot (Albert)</w:t>
      </w:r>
    </w:p>
    <w:p>
      <w:pPr>
        <w:pStyle w:val="Compact"/>
        <w:numPr>
          <w:numId w:val="1008"/>
          <w:ilvl w:val="0"/>
        </w:numPr>
      </w:pPr>
      <w:r>
        <w:t xml:space="preserve">L’Atelier du Grand Pré (Lachapelle-aux-Pots)</w:t>
      </w:r>
    </w:p>
    <w:p>
      <w:pPr>
        <w:pStyle w:val="Compact"/>
        <w:numPr>
          <w:numId w:val="1008"/>
          <w:ilvl w:val="0"/>
        </w:numPr>
      </w:pPr>
      <w:r>
        <w:t xml:space="preserve">MANUFACTURE DE MODE CIRCULAIRE PLATEAU FERTILE (Roubaix)</w:t>
      </w:r>
    </w:p>
    <w:p>
      <w:pPr>
        <w:pStyle w:val="Compact"/>
        <w:numPr>
          <w:numId w:val="1008"/>
          <w:ilvl w:val="0"/>
        </w:numPr>
      </w:pPr>
      <w:r>
        <w:t xml:space="preserve">Manufacture de Proximité de l’Hermitage (Autrêches)</w:t>
      </w:r>
    </w:p>
    <w:p>
      <w:pPr>
        <w:pStyle w:val="Compact"/>
        <w:numPr>
          <w:numId w:val="1008"/>
          <w:ilvl w:val="0"/>
        </w:numPr>
      </w:pPr>
      <w:r>
        <w:t xml:space="preserve">Manufacture d’Innovation et de Production (Amiens)</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Hauts-de-France</w:t>
      </w:r>
      <w:r>
        <w:t xml:space="preserve"> </w:t>
      </w:r>
      <w:r>
        <w:t xml:space="preserve">est couverte</w:t>
      </w:r>
      <w:r>
        <w:t xml:space="preserve"> </w:t>
      </w:r>
      <w:r>
        <w:t xml:space="preserve">par le hub « Les Assembleurs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09"/>
          <w:ilvl w:val="0"/>
        </w:numPr>
      </w:pPr>
      <w:r>
        <w:t xml:space="preserve">319 CNFS validés dans 236 structures d’accueil</w:t>
      </w:r>
    </w:p>
    <w:p>
      <w:pPr>
        <w:pStyle w:val="Compact"/>
        <w:numPr>
          <w:numId w:val="1009"/>
          <w:ilvl w:val="0"/>
        </w:numPr>
      </w:pPr>
      <w:r>
        <w:t xml:space="preserve">269 CNFS recrutés</w:t>
      </w:r>
    </w:p>
    <w:p>
      <w:pPr>
        <w:pStyle w:val="Compact"/>
        <w:numPr>
          <w:numId w:val="1009"/>
          <w:ilvl w:val="0"/>
        </w:numPr>
      </w:pPr>
      <w:r>
        <w:t xml:space="preserve">4 CNFS en formation</w:t>
      </w:r>
    </w:p>
    <w:p>
      <w:pPr>
        <w:pStyle w:val="Compact"/>
        <w:numPr>
          <w:numId w:val="1009"/>
          <w:ilvl w:val="0"/>
        </w:numPr>
      </w:pPr>
      <w:r>
        <w:t xml:space="preserve">223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0"/>
          <w:ilvl w:val="0"/>
        </w:numPr>
      </w:pPr>
      <w:r>
        <w:t xml:space="preserve">438 structures candidates</w:t>
      </w:r>
    </w:p>
    <w:p>
      <w:pPr>
        <w:pStyle w:val="Compact"/>
        <w:numPr>
          <w:numId w:val="1010"/>
          <w:ilvl w:val="0"/>
        </w:numPr>
      </w:pPr>
      <w:r>
        <w:t xml:space="preserve">1759 aidants à habiliter au total</w:t>
      </w:r>
    </w:p>
    <w:p>
      <w:pPr>
        <w:pStyle w:val="Compact"/>
        <w:numPr>
          <w:numId w:val="1010"/>
          <w:ilvl w:val="0"/>
        </w:numPr>
      </w:pPr>
      <w:r>
        <w:t xml:space="preserve">428 structures ont finalisé leur habilitation (1477 aidants formés au 16 septembre 2024)</w:t>
      </w:r>
    </w:p>
    <w:p>
      <w:pPr>
        <w:pStyle w:val="Titre2"/>
      </w:pPr>
      <w:bookmarkStart w:id="28" w:name="bases-adresses-locales"/>
      <w:r>
        <w:t xml:space="preserve">Bases adresses locales</w:t>
      </w:r>
      <w:bookmarkEnd w:id="28"/>
    </w:p>
    <w:p>
      <w:pPr>
        <w:pStyle w:val="FirstParagraph"/>
      </w:pPr>
      <w:r>
        <w:t xml:space="preserve">1595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1"/>
          <w:ilvl w:val="0"/>
        </w:numPr>
      </w:pPr>
      <w:r>
        <w:t xml:space="preserve">Aidants Connect : dernière mise à jour 16 septembre 2024</w:t>
      </w:r>
    </w:p>
    <w:p>
      <w:pPr>
        <w:pStyle w:val="Compact"/>
        <w:numPr>
          <w:numId w:val="1011"/>
          <w:ilvl w:val="0"/>
        </w:numPr>
      </w:pPr>
      <w:r>
        <w:t xml:space="preserve">Arcep – Technologies par commune : dernière mise à jour 05 avril 2024</w:t>
      </w:r>
    </w:p>
    <w:p>
      <w:pPr>
        <w:pStyle w:val="Compact"/>
        <w:numPr>
          <w:numId w:val="1011"/>
          <w:ilvl w:val="0"/>
        </w:numPr>
      </w:pPr>
      <w:r>
        <w:t xml:space="preserve">Conseillers numériques : dernière mise à jour 19 septembre 2024</w:t>
      </w:r>
    </w:p>
    <w:p>
      <w:pPr>
        <w:pStyle w:val="Compact"/>
        <w:numPr>
          <w:numId w:val="1011"/>
          <w:ilvl w:val="0"/>
        </w:numPr>
      </w:pPr>
      <w:r>
        <w:t xml:space="preserve">Fabriques de Territoire : dernière mise à jour 12 septembre 2024</w:t>
      </w:r>
    </w:p>
    <w:p>
      <w:pPr>
        <w:pStyle w:val="Compact"/>
        <w:numPr>
          <w:numId w:val="1011"/>
          <w:ilvl w:val="0"/>
        </w:numPr>
      </w:pPr>
      <w:r>
        <w:t xml:space="preserve">France Mobile : dernière mise à jour 31 mai 2024</w:t>
      </w:r>
    </w:p>
    <w:p>
      <w:pPr>
        <w:pStyle w:val="Compact"/>
        <w:numPr>
          <w:numId w:val="1011"/>
          <w:ilvl w:val="0"/>
        </w:numPr>
      </w:pPr>
      <w:r>
        <w:t xml:space="preserve">Hubs territoriaux</w:t>
      </w:r>
    </w:p>
    <w:p>
      <w:pPr>
        <w:pStyle w:val="Compact"/>
        <w:numPr>
          <w:numId w:val="1011"/>
          <w:ilvl w:val="0"/>
        </w:numPr>
      </w:pPr>
      <w:r>
        <w:t xml:space="preserve">Manufactures de proximité : dernière mise à jour 12 septembre 2024</w:t>
      </w:r>
    </w:p>
    <w:p>
      <w:pPr>
        <w:pStyle w:val="Compact"/>
        <w:numPr>
          <w:numId w:val="1011"/>
          <w:ilvl w:val="0"/>
        </w:numPr>
      </w:pPr>
      <w:r>
        <w:t xml:space="preserve">Structures d’accueil conseillers numériques : dernière mise à jour 19 septembre 2024</w:t>
      </w:r>
    </w:p>
    <w:p>
      <w:pPr>
        <w:pStyle w:val="Compact"/>
        <w:numPr>
          <w:numId w:val="1011"/>
          <w:ilvl w:val="0"/>
        </w:numPr>
      </w:pPr>
      <w:r>
        <w:t xml:space="preserve">Suivi Bases adresses locales</w:t>
      </w:r>
    </w:p>
    <w:p>
      <w:pPr>
        <w:pStyle w:val="Compact"/>
        <w:numPr>
          <w:numId w:val="1011"/>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2024-09-19T02:17:23Z</dcterms:created>
  <dcterms:modified xsi:type="dcterms:W3CDTF">2024-09-19T02:17:23Z</dcterms:modified>
</cp:coreProperties>
</file>

<file path=docProps/custom.xml><?xml version="1.0" encoding="utf-8"?>
<Properties xmlns="http://schemas.openxmlformats.org/officeDocument/2006/custom-properties" xmlns:vt="http://schemas.openxmlformats.org/officeDocument/2006/docPropsVTypes"/>
</file>