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centre-val-de-loire"/>
      <w:r>
        <w:t xml:space="preserve">Numérique « Centre-Val de Loire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Centre-Val de Loire, 222 sites ont été identifiés,</w:t>
      </w:r>
      <w:r>
        <w:t xml:space="preserve"> </w:t>
      </w:r>
      <w:r>
        <w:t xml:space="preserve">parmi lesquels 152 ont d’ores et déjà été mis en service.</w:t>
      </w:r>
    </w:p>
    <w:p>
      <w:pPr>
        <w:pStyle w:val="Corpsdetexte"/>
      </w:pPr>
      <w:r>
        <w:t xml:space="preserve">Dans le cadre du dispositif 4G fixe, dans la région Centre-Val de Loire,</w:t>
      </w:r>
      <w:r>
        <w:t xml:space="preserve"> </w:t>
      </w:r>
      <w:r>
        <w:t xml:space="preserve">34 sites ont été identifiés,</w:t>
      </w:r>
      <w:r>
        <w:t xml:space="preserve"> </w:t>
      </w:r>
      <w:r>
        <w:t xml:space="preserve">et 27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4 initiatives complémentaires :</w:t>
      </w:r>
    </w:p>
    <w:p>
      <w:pPr>
        <w:pStyle w:val="Compact"/>
        <w:numPr>
          <w:numId w:val="1001"/>
          <w:ilvl w:val="0"/>
        </w:numPr>
      </w:pPr>
      <w:r>
        <w:t xml:space="preserve">L’initiative privée des opérateurs dans la zone très dense, qui comprend 2 communes ;</w:t>
      </w:r>
    </w:p>
    <w:p>
      <w:pPr>
        <w:pStyle w:val="Compact"/>
        <w:numPr>
          <w:numId w:val="1001"/>
          <w:ilvl w:val="0"/>
        </w:numPr>
      </w:pPr>
      <w:r>
        <w:t xml:space="preserve">celle de SFR et XP Fibre sur 185 communes ;</w:t>
      </w:r>
    </w:p>
    <w:p>
      <w:pPr>
        <w:pStyle w:val="Compact"/>
        <w:numPr>
          <w:numId w:val="1001"/>
          <w:ilvl w:val="0"/>
        </w:numPr>
      </w:pPr>
      <w:r>
        <w:t xml:space="preserve">celle de CM’IN, Orange, Orange / XP Fibre et XP Fibre sur 140 communes ;</w:t>
      </w:r>
    </w:p>
    <w:p>
      <w:pPr>
        <w:pStyle w:val="Compact"/>
        <w:numPr>
          <w:numId w:val="1001"/>
          <w:ilvl w:val="0"/>
        </w:numPr>
      </w:pPr>
      <w:r>
        <w:t xml:space="preserve">celle de Berry Numérique, CD Loiret, Eure-et-Loir Numérique, RIP 36 et Val-de-Loire Numérique dans la zone d’initiative publique qui comprend 1486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182 957</w:t>
            </w:r>
            <w:r>
              <w:t xml:space="preserve"> </w:t>
            </w:r>
            <w:r>
              <w:rPr>
                <w:i/>
              </w:rPr>
              <w:t xml:space="preserve">11.0%</w:t>
            </w:r>
          </w:p>
        </w:tc>
        <w:tc>
          <w:p>
            <w:pPr>
              <w:pStyle w:val="Compact"/>
              <w:jc w:val="left"/>
            </w:pPr>
            <w:r>
              <w:t xml:space="preserve">163 437</w:t>
            </w:r>
            <w:r>
              <w:t xml:space="preserve"> </w:t>
            </w:r>
            <w:r>
              <w:rPr>
                <w:i/>
              </w:rPr>
              <w:t xml:space="preserve">89.0%</w:t>
            </w:r>
          </w:p>
        </w:tc>
      </w:tr>
      <w:tr>
        <w:tc>
          <w:p>
            <w:pPr>
              <w:pStyle w:val="Compact"/>
              <w:jc w:val="left"/>
            </w:pPr>
            <w:r>
              <w:t xml:space="preserve">Zone AMEL / fonds propres</w:t>
            </w:r>
          </w:p>
        </w:tc>
        <w:tc>
          <w:p>
            <w:pPr>
              <w:pStyle w:val="Compact"/>
              <w:jc w:val="left"/>
            </w:pPr>
            <w:r>
              <w:t xml:space="preserve">72 511</w:t>
            </w:r>
            <w:r>
              <w:t xml:space="preserve"> </w:t>
            </w:r>
            <w:r>
              <w:rPr>
                <w:i/>
              </w:rPr>
              <w:t xml:space="preserve">4.0%</w:t>
            </w:r>
          </w:p>
        </w:tc>
        <w:tc>
          <w:p>
            <w:pPr>
              <w:pStyle w:val="Compact"/>
              <w:jc w:val="left"/>
            </w:pPr>
            <w:r>
              <w:t xml:space="preserve">70 065</w:t>
            </w:r>
            <w:r>
              <w:t xml:space="preserve"> </w:t>
            </w:r>
            <w:r>
              <w:rPr>
                <w:i/>
              </w:rPr>
              <w:t xml:space="preserve">97.0%</w:t>
            </w:r>
          </w:p>
        </w:tc>
      </w:tr>
      <w:tr>
        <w:tc>
          <w:p>
            <w:pPr>
              <w:pStyle w:val="Compact"/>
              <w:jc w:val="left"/>
            </w:pPr>
            <w:r>
              <w:t xml:space="preserve">Zone AMII</w:t>
            </w:r>
          </w:p>
        </w:tc>
        <w:tc>
          <w:p>
            <w:pPr>
              <w:pStyle w:val="Compact"/>
              <w:jc w:val="left"/>
            </w:pPr>
            <w:r>
              <w:t xml:space="preserve">506 840</w:t>
            </w:r>
            <w:r>
              <w:t xml:space="preserve"> </w:t>
            </w:r>
            <w:r>
              <w:rPr>
                <w:i/>
              </w:rPr>
              <w:t xml:space="preserve">30.0%</w:t>
            </w:r>
          </w:p>
        </w:tc>
        <w:tc>
          <w:p>
            <w:pPr>
              <w:pStyle w:val="Compact"/>
              <w:jc w:val="left"/>
            </w:pPr>
            <w:r>
              <w:t xml:space="preserve">474 462</w:t>
            </w:r>
            <w:r>
              <w:t xml:space="preserve"> </w:t>
            </w:r>
            <w:r>
              <w:rPr>
                <w:i/>
              </w:rPr>
              <w:t xml:space="preserve">94.0%</w:t>
            </w:r>
          </w:p>
        </w:tc>
      </w:tr>
      <w:tr>
        <w:tc>
          <w:p>
            <w:pPr>
              <w:pStyle w:val="Compact"/>
              <w:jc w:val="left"/>
            </w:pPr>
            <w:r>
              <w:t xml:space="preserve">Zone RIP</w:t>
            </w:r>
          </w:p>
        </w:tc>
        <w:tc>
          <w:p>
            <w:pPr>
              <w:pStyle w:val="Compact"/>
              <w:jc w:val="left"/>
            </w:pPr>
            <w:r>
              <w:t xml:space="preserve">903 933</w:t>
            </w:r>
            <w:r>
              <w:t xml:space="preserve"> </w:t>
            </w:r>
            <w:r>
              <w:rPr>
                <w:i/>
              </w:rPr>
              <w:t xml:space="preserve">54.0%</w:t>
            </w:r>
          </w:p>
        </w:tc>
        <w:tc>
          <w:p>
            <w:pPr>
              <w:pStyle w:val="Compact"/>
              <w:jc w:val="left"/>
            </w:pPr>
            <w:r>
              <w:t xml:space="preserve">828 811</w:t>
            </w:r>
            <w:r>
              <w:t xml:space="preserve"> </w:t>
            </w:r>
            <w:r>
              <w:rPr>
                <w:i/>
              </w:rPr>
              <w:t xml:space="preserve">92.0%</w:t>
            </w:r>
          </w:p>
        </w:tc>
      </w:tr>
      <w:tr>
        <w:tc>
          <w:p>
            <w:pPr>
              <w:pStyle w:val="Compact"/>
              <w:jc w:val="left"/>
            </w:pPr>
            <w:r>
              <w:rPr>
                <w:b/>
              </w:rPr>
              <w:t xml:space="preserve">Total</w:t>
            </w:r>
          </w:p>
        </w:tc>
        <w:tc>
          <w:p>
            <w:pPr>
              <w:pStyle w:val="Compact"/>
              <w:jc w:val="left"/>
            </w:pPr>
            <w:r>
              <w:t xml:space="preserve">1 666 241</w:t>
            </w:r>
            <w:r>
              <w:t xml:space="preserve"> </w:t>
            </w:r>
            <w:r>
              <w:rPr>
                <w:i/>
              </w:rPr>
              <w:t xml:space="preserve">100%</w:t>
            </w:r>
          </w:p>
        </w:tc>
        <w:tc>
          <w:p>
            <w:pPr>
              <w:pStyle w:val="Compact"/>
              <w:jc w:val="left"/>
            </w:pPr>
            <w:r>
              <w:t xml:space="preserve">1 536 775</w:t>
            </w:r>
            <w:r>
              <w:t xml:space="preserve"> </w:t>
            </w:r>
            <w:r>
              <w:rPr>
                <w:i/>
              </w:rPr>
              <w:t xml:space="preserve">92.0%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16 en région Centre-Val de Loire :</w:t>
      </w:r>
    </w:p>
    <w:p>
      <w:pPr>
        <w:pStyle w:val="Compact"/>
        <w:numPr>
          <w:numId w:val="1002"/>
          <w:ilvl w:val="0"/>
        </w:numPr>
      </w:pPr>
      <w:r>
        <w:t xml:space="preserve">Cher (18) :</w:t>
      </w:r>
    </w:p>
    <w:p>
      <w:pPr>
        <w:pStyle w:val="Compact"/>
        <w:numPr>
          <w:numId w:val="1003"/>
          <w:ilvl w:val="1"/>
        </w:numPr>
      </w:pPr>
      <w:r>
        <w:t xml:space="preserve">Antre Peaux (Bandits-Mages) à Bourges</w:t>
      </w:r>
    </w:p>
    <w:p>
      <w:pPr>
        <w:pStyle w:val="Compact"/>
        <w:numPr>
          <w:numId w:val="1003"/>
          <w:ilvl w:val="1"/>
        </w:numPr>
      </w:pPr>
      <w:r>
        <w:t xml:space="preserve">COMMUNAUTE DE COMMUNES DU PAYS DE NERONDES à Nérondes</w:t>
      </w:r>
    </w:p>
    <w:p>
      <w:pPr>
        <w:pStyle w:val="Compact"/>
        <w:numPr>
          <w:numId w:val="1002"/>
          <w:ilvl w:val="0"/>
        </w:numPr>
      </w:pPr>
      <w:r>
        <w:t xml:space="preserve">Eure-et-Loir (28) :</w:t>
      </w:r>
    </w:p>
    <w:p>
      <w:pPr>
        <w:pStyle w:val="Compact"/>
        <w:numPr>
          <w:numId w:val="1004"/>
          <w:ilvl w:val="1"/>
        </w:numPr>
      </w:pPr>
      <w:r>
        <w:t xml:space="preserve">BETAMACHINE à Chartres</w:t>
      </w:r>
    </w:p>
    <w:p>
      <w:pPr>
        <w:pStyle w:val="Compact"/>
        <w:numPr>
          <w:numId w:val="1004"/>
          <w:ilvl w:val="1"/>
        </w:numPr>
      </w:pPr>
      <w:r>
        <w:t xml:space="preserve">Cse Jules Verne Leo Lagrange Nord Ile De France à Mainvilliers</w:t>
      </w:r>
    </w:p>
    <w:p>
      <w:pPr>
        <w:pStyle w:val="Compact"/>
        <w:numPr>
          <w:numId w:val="1002"/>
          <w:ilvl w:val="0"/>
        </w:numPr>
      </w:pPr>
      <w:r>
        <w:t xml:space="preserve">Indre (36) :</w:t>
      </w:r>
    </w:p>
    <w:p>
      <w:pPr>
        <w:pStyle w:val="Compact"/>
        <w:numPr>
          <w:numId w:val="1005"/>
          <w:ilvl w:val="1"/>
        </w:numPr>
      </w:pPr>
      <w:r>
        <w:t xml:space="preserve">Maison des Jeunes, de la Culture et des Savoirs à La Châtre</w:t>
      </w:r>
    </w:p>
    <w:p>
      <w:pPr>
        <w:pStyle w:val="Compact"/>
        <w:numPr>
          <w:numId w:val="1005"/>
          <w:ilvl w:val="1"/>
        </w:numPr>
      </w:pPr>
      <w:r>
        <w:t xml:space="preserve">Carte Blanche à Le Blanc</w:t>
      </w:r>
    </w:p>
    <w:p>
      <w:pPr>
        <w:pStyle w:val="Compact"/>
        <w:numPr>
          <w:numId w:val="1005"/>
          <w:ilvl w:val="1"/>
        </w:numPr>
      </w:pPr>
      <w:r>
        <w:t xml:space="preserve">Communauté de Communes Coeur de Brenne à Saint-Michel-en-Brenne</w:t>
      </w:r>
    </w:p>
    <w:p>
      <w:pPr>
        <w:pStyle w:val="Compact"/>
        <w:numPr>
          <w:numId w:val="1002"/>
          <w:ilvl w:val="0"/>
        </w:numPr>
      </w:pPr>
      <w:r>
        <w:t xml:space="preserve">Indre-et-Loire (37) :</w:t>
      </w:r>
    </w:p>
    <w:p>
      <w:pPr>
        <w:pStyle w:val="Compact"/>
        <w:numPr>
          <w:numId w:val="1006"/>
          <w:ilvl w:val="1"/>
        </w:numPr>
      </w:pPr>
      <w:r>
        <w:t xml:space="preserve">PRECIOUS PLASTIC TOURAINE VAL DE LOIRE à La Riche</w:t>
      </w:r>
    </w:p>
    <w:p>
      <w:pPr>
        <w:pStyle w:val="Compact"/>
        <w:numPr>
          <w:numId w:val="1006"/>
          <w:ilvl w:val="1"/>
        </w:numPr>
      </w:pPr>
      <w:r>
        <w:t xml:space="preserve">La Fabrique d’Usages Numériques à Tours</w:t>
      </w:r>
    </w:p>
    <w:p>
      <w:pPr>
        <w:pStyle w:val="Compact"/>
        <w:numPr>
          <w:numId w:val="1002"/>
          <w:ilvl w:val="0"/>
        </w:numPr>
      </w:pPr>
      <w:r>
        <w:t xml:space="preserve">Loir-et-Cher (41) :</w:t>
      </w:r>
    </w:p>
    <w:p>
      <w:pPr>
        <w:pStyle w:val="Compact"/>
        <w:numPr>
          <w:numId w:val="1007"/>
          <w:ilvl w:val="1"/>
        </w:numPr>
      </w:pPr>
      <w:r>
        <w:t xml:space="preserve">Association Bio-Solidaire à Blois</w:t>
      </w:r>
    </w:p>
    <w:p>
      <w:pPr>
        <w:pStyle w:val="Compact"/>
        <w:numPr>
          <w:numId w:val="1007"/>
          <w:ilvl w:val="1"/>
        </w:numPr>
      </w:pPr>
      <w:r>
        <w:t xml:space="preserve">MAISON DE BÉGON à Blois</w:t>
      </w:r>
    </w:p>
    <w:p>
      <w:pPr>
        <w:pStyle w:val="Compact"/>
        <w:numPr>
          <w:numId w:val="1007"/>
          <w:ilvl w:val="1"/>
        </w:numPr>
      </w:pPr>
      <w:r>
        <w:t xml:space="preserve">Association</w:t>
      </w:r>
      <w:r>
        <w:t xml:space="preserve"> </w:t>
      </w:r>
      <w:r>
        <w:t xml:space="preserve">“</w:t>
      </w:r>
      <w:r>
        <w:t xml:space="preserve">Pays du Perche en Loir-et-Cher</w:t>
      </w:r>
      <w:r>
        <w:t xml:space="preserve">”</w:t>
      </w:r>
      <w:r>
        <w:t xml:space="preserve">, porteur principal. L’association</w:t>
      </w:r>
      <w:r>
        <w:t xml:space="preserve"> </w:t>
      </w:r>
      <w:r>
        <w:t xml:space="preserve">“</w:t>
      </w:r>
      <w:r>
        <w:t xml:space="preserve">L’Echalier</w:t>
      </w:r>
      <w:r>
        <w:t xml:space="preserve">”</w:t>
      </w:r>
      <w:r>
        <w:t xml:space="preserve"> </w:t>
      </w:r>
      <w:r>
        <w:t xml:space="preserve">et l’association</w:t>
      </w:r>
      <w:r>
        <w:t xml:space="preserve"> </w:t>
      </w:r>
      <w:r>
        <w:t xml:space="preserve">“</w:t>
      </w:r>
      <w:r>
        <w:t xml:space="preserve">La Commanderie d’Arville</w:t>
      </w:r>
      <w:r>
        <w:t xml:space="preserve">”</w:t>
      </w:r>
      <w:r>
        <w:t xml:space="preserve"> </w:t>
      </w:r>
      <w:r>
        <w:t xml:space="preserve">sont membres du consortium à Mondoubleau</w:t>
      </w:r>
    </w:p>
    <w:p>
      <w:pPr>
        <w:pStyle w:val="Compact"/>
        <w:numPr>
          <w:numId w:val="1007"/>
          <w:ilvl w:val="1"/>
        </w:numPr>
      </w:pPr>
      <w:r>
        <w:t xml:space="preserve">SCIC Les Greniers de Vineuil</w:t>
      </w:r>
      <w:r>
        <w:t xml:space="preserve"> </w:t>
      </w:r>
      <w:r>
        <w:t xml:space="preserve">Chef de file du consortium composé de 2 structures : Association Fil-Good - Ecolieu La Filerie et SCIC Les Greniers de Vineuil. à Vineuil</w:t>
      </w:r>
    </w:p>
    <w:p>
      <w:pPr>
        <w:pStyle w:val="Compact"/>
        <w:numPr>
          <w:numId w:val="1002"/>
          <w:ilvl w:val="0"/>
        </w:numPr>
      </w:pPr>
      <w:r>
        <w:t xml:space="preserve">Loiret (45) :</w:t>
      </w:r>
    </w:p>
    <w:p>
      <w:pPr>
        <w:pStyle w:val="Compact"/>
        <w:numPr>
          <w:numId w:val="1008"/>
          <w:ilvl w:val="1"/>
        </w:numPr>
      </w:pPr>
      <w:r>
        <w:t xml:space="preserve">Chateauneuf sur Loire en Transition à Châteauneuf-sur-Loire</w:t>
      </w:r>
    </w:p>
    <w:p>
      <w:pPr>
        <w:pStyle w:val="Compact"/>
        <w:numPr>
          <w:numId w:val="1008"/>
          <w:ilvl w:val="1"/>
        </w:numPr>
      </w:pPr>
      <w:r>
        <w:t xml:space="preserve">Les Jardins de la Voie Romaine à Nibelle</w:t>
      </w:r>
    </w:p>
    <w:p>
      <w:pPr>
        <w:pStyle w:val="Compact"/>
        <w:numPr>
          <w:numId w:val="1008"/>
          <w:ilvl w:val="1"/>
        </w:numPr>
      </w:pPr>
      <w:r>
        <w:t xml:space="preserve">Action à Orléans</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2 dans la région :</w:t>
      </w:r>
    </w:p>
    <w:p>
      <w:pPr>
        <w:pStyle w:val="Compact"/>
        <w:numPr>
          <w:numId w:val="1009"/>
          <w:ilvl w:val="0"/>
        </w:numPr>
      </w:pPr>
      <w:r>
        <w:t xml:space="preserve">La Manufacture Tourangelle (Tours)</w:t>
      </w:r>
    </w:p>
    <w:p>
      <w:pPr>
        <w:pStyle w:val="Compact"/>
        <w:numPr>
          <w:numId w:val="1009"/>
          <w:ilvl w:val="0"/>
        </w:numPr>
      </w:pPr>
      <w:r>
        <w:t xml:space="preserve">Manufacture de Proximité Artisanale et Numérique (Saint-Gaultier)</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Centre-Val de Loire</w:t>
      </w:r>
      <w:r>
        <w:t xml:space="preserve"> </w:t>
      </w:r>
      <w:r>
        <w:t xml:space="preserve">est couverte</w:t>
      </w:r>
      <w:r>
        <w:t xml:space="preserve"> </w:t>
      </w:r>
      <w:r>
        <w:t xml:space="preserve">par le hub « Hub-Lo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10"/>
          <w:ilvl w:val="0"/>
        </w:numPr>
      </w:pPr>
      <w:r>
        <w:t xml:space="preserve">167 CNFS validés dans 104 structures d’accueil</w:t>
      </w:r>
    </w:p>
    <w:p>
      <w:pPr>
        <w:pStyle w:val="Compact"/>
        <w:numPr>
          <w:numId w:val="1010"/>
          <w:ilvl w:val="0"/>
        </w:numPr>
      </w:pPr>
      <w:r>
        <w:t xml:space="preserve">147 CNFS recrutés</w:t>
      </w:r>
    </w:p>
    <w:p>
      <w:pPr>
        <w:pStyle w:val="Compact"/>
        <w:numPr>
          <w:numId w:val="1010"/>
          <w:ilvl w:val="0"/>
        </w:numPr>
      </w:pPr>
      <w:r>
        <w:t xml:space="preserve">1 CNFS en formation</w:t>
      </w:r>
    </w:p>
    <w:p>
      <w:pPr>
        <w:pStyle w:val="Compact"/>
        <w:numPr>
          <w:numId w:val="1010"/>
          <w:ilvl w:val="0"/>
        </w:numPr>
      </w:pPr>
      <w:r>
        <w:t xml:space="preserve">116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11"/>
          <w:ilvl w:val="0"/>
        </w:numPr>
      </w:pPr>
      <w:r>
        <w:t xml:space="preserve">198 structures candidates</w:t>
      </w:r>
    </w:p>
    <w:p>
      <w:pPr>
        <w:pStyle w:val="Compact"/>
        <w:numPr>
          <w:numId w:val="1011"/>
          <w:ilvl w:val="0"/>
        </w:numPr>
      </w:pPr>
      <w:r>
        <w:t xml:space="preserve">613 aidants à habiliter au total</w:t>
      </w:r>
    </w:p>
    <w:p>
      <w:pPr>
        <w:pStyle w:val="Compact"/>
        <w:numPr>
          <w:numId w:val="1011"/>
          <w:ilvl w:val="0"/>
        </w:numPr>
      </w:pPr>
      <w:r>
        <w:t xml:space="preserve">190 structures ont finalisé leur habilitation (516 aidants formés au 16 septembre 2024)</w:t>
      </w:r>
    </w:p>
    <w:p>
      <w:pPr>
        <w:pStyle w:val="Titre2"/>
      </w:pPr>
      <w:bookmarkStart w:id="28" w:name="bases-adresses-locales"/>
      <w:r>
        <w:t xml:space="preserve">Bases adresses locales</w:t>
      </w:r>
      <w:bookmarkEnd w:id="28"/>
    </w:p>
    <w:p>
      <w:pPr>
        <w:pStyle w:val="FirstParagraph"/>
      </w:pPr>
      <w:r>
        <w:t xml:space="preserve">1075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12"/>
          <w:ilvl w:val="0"/>
        </w:numPr>
      </w:pPr>
      <w:r>
        <w:t xml:space="preserve">Aidants Connect : dernière mise à jour 16 septembre 2024</w:t>
      </w:r>
    </w:p>
    <w:p>
      <w:pPr>
        <w:pStyle w:val="Compact"/>
        <w:numPr>
          <w:numId w:val="1012"/>
          <w:ilvl w:val="0"/>
        </w:numPr>
      </w:pPr>
      <w:r>
        <w:t xml:space="preserve">Arcep – Technologies par commune : dernière mise à jour 05 avril 2024</w:t>
      </w:r>
    </w:p>
    <w:p>
      <w:pPr>
        <w:pStyle w:val="Compact"/>
        <w:numPr>
          <w:numId w:val="1012"/>
          <w:ilvl w:val="0"/>
        </w:numPr>
      </w:pPr>
      <w:r>
        <w:t xml:space="preserve">Conseillers numériques : dernière mise à jour 19 septembre 2024</w:t>
      </w:r>
    </w:p>
    <w:p>
      <w:pPr>
        <w:pStyle w:val="Compact"/>
        <w:numPr>
          <w:numId w:val="1012"/>
          <w:ilvl w:val="0"/>
        </w:numPr>
      </w:pPr>
      <w:r>
        <w:t xml:space="preserve">Fabriques de Territoire : dernière mise à jour 12 septembre 2024</w:t>
      </w:r>
    </w:p>
    <w:p>
      <w:pPr>
        <w:pStyle w:val="Compact"/>
        <w:numPr>
          <w:numId w:val="1012"/>
          <w:ilvl w:val="0"/>
        </w:numPr>
      </w:pPr>
      <w:r>
        <w:t xml:space="preserve">France Mobile : dernière mise à jour 31 mai 2024</w:t>
      </w:r>
    </w:p>
    <w:p>
      <w:pPr>
        <w:pStyle w:val="Compact"/>
        <w:numPr>
          <w:numId w:val="1012"/>
          <w:ilvl w:val="0"/>
        </w:numPr>
      </w:pPr>
      <w:r>
        <w:t xml:space="preserve">Hubs territoriaux</w:t>
      </w:r>
    </w:p>
    <w:p>
      <w:pPr>
        <w:pStyle w:val="Compact"/>
        <w:numPr>
          <w:numId w:val="1012"/>
          <w:ilvl w:val="0"/>
        </w:numPr>
      </w:pPr>
      <w:r>
        <w:t xml:space="preserve">Manufactures de proximité : dernière mise à jour 12 septembre 2024</w:t>
      </w:r>
    </w:p>
    <w:p>
      <w:pPr>
        <w:pStyle w:val="Compact"/>
        <w:numPr>
          <w:numId w:val="1012"/>
          <w:ilvl w:val="0"/>
        </w:numPr>
      </w:pPr>
      <w:r>
        <w:t xml:space="preserve">Structures d’accueil conseillers numériques : dernière mise à jour 19 septembre 2024</w:t>
      </w:r>
    </w:p>
    <w:p>
      <w:pPr>
        <w:pStyle w:val="Compact"/>
        <w:numPr>
          <w:numId w:val="1012"/>
          <w:ilvl w:val="0"/>
        </w:numPr>
      </w:pPr>
      <w:r>
        <w:t xml:space="preserve">Suivi Bases adresses locales</w:t>
      </w:r>
    </w:p>
    <w:p>
      <w:pPr>
        <w:pStyle w:val="Compact"/>
        <w:numPr>
          <w:numId w:val="1012"/>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2024-09-19T02:17:18Z</dcterms:created>
  <dcterms:modified xsi:type="dcterms:W3CDTF">2024-09-19T02:17:18Z</dcterms:modified>
</cp:coreProperties>
</file>

<file path=docProps/custom.xml><?xml version="1.0" encoding="utf-8"?>
<Properties xmlns="http://schemas.openxmlformats.org/officeDocument/2006/custom-properties" xmlns:vt="http://schemas.openxmlformats.org/officeDocument/2006/docPropsVTypes"/>
</file>