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martinique"/>
      <w:r>
        <w:t xml:space="preserve">Numérique « Martinique »</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3 initiatives complémentaires :</w:t>
      </w:r>
    </w:p>
    <w:p>
      <w:pPr>
        <w:pStyle w:val="Compact"/>
        <w:numPr>
          <w:numId w:val="1001"/>
          <w:ilvl w:val="0"/>
        </w:numPr>
      </w:pPr>
      <w:r>
        <w:t xml:space="preserve">celle de Orange / XP Fibre sur 9 communes ;</w:t>
      </w:r>
    </w:p>
    <w:p>
      <w:pPr>
        <w:pStyle w:val="Compact"/>
        <w:numPr>
          <w:numId w:val="1001"/>
          <w:ilvl w:val="0"/>
        </w:numPr>
      </w:pPr>
      <w:r>
        <w:t xml:space="preserve">celle de Orange sur 2 communes ;</w:t>
      </w:r>
    </w:p>
    <w:p>
      <w:pPr>
        <w:pStyle w:val="Compact"/>
        <w:numPr>
          <w:numId w:val="1001"/>
          <w:ilvl w:val="0"/>
        </w:numPr>
      </w:pPr>
      <w:r>
        <w:t xml:space="preserve">celle de CT Martinique dans la zone d’initiative publique qui comprend 32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53 301</w:t>
            </w:r>
            <w:r>
              <w:t xml:space="preserve"> </w:t>
            </w:r>
            <w:r>
              <w:rPr>
                <w:i/>
              </w:rPr>
              <w:t xml:space="preserve">23.0%</w:t>
            </w:r>
          </w:p>
        </w:tc>
        <w:tc>
          <w:p>
            <w:pPr>
              <w:pStyle w:val="Compact"/>
              <w:jc w:val="left"/>
            </w:pPr>
            <w:r>
              <w:t xml:space="preserve">44 587</w:t>
            </w:r>
            <w:r>
              <w:t xml:space="preserve"> </w:t>
            </w:r>
            <w:r>
              <w:rPr>
                <w:i/>
              </w:rPr>
              <w:t xml:space="preserve">84.0%</w:t>
            </w:r>
          </w:p>
        </w:tc>
      </w:tr>
      <w:tr>
        <w:tc>
          <w:p>
            <w:pPr>
              <w:pStyle w:val="Compact"/>
              <w:jc w:val="left"/>
            </w:pPr>
            <w:r>
              <w:t xml:space="preserve">Zone AMII</w:t>
            </w:r>
          </w:p>
        </w:tc>
        <w:tc>
          <w:p>
            <w:pPr>
              <w:pStyle w:val="Compact"/>
              <w:jc w:val="left"/>
            </w:pPr>
            <w:r>
              <w:t xml:space="preserve">71 258</w:t>
            </w:r>
            <w:r>
              <w:t xml:space="preserve"> </w:t>
            </w:r>
            <w:r>
              <w:rPr>
                <w:i/>
              </w:rPr>
              <w:t xml:space="preserve">30.0%</w:t>
            </w:r>
          </w:p>
        </w:tc>
        <w:tc>
          <w:p>
            <w:pPr>
              <w:pStyle w:val="Compact"/>
              <w:jc w:val="left"/>
            </w:pPr>
            <w:r>
              <w:t xml:space="preserve">66 568</w:t>
            </w:r>
            <w:r>
              <w:t xml:space="preserve"> </w:t>
            </w:r>
            <w:r>
              <w:rPr>
                <w:i/>
              </w:rPr>
              <w:t xml:space="preserve">93.0%</w:t>
            </w:r>
          </w:p>
        </w:tc>
      </w:tr>
      <w:tr>
        <w:tc>
          <w:p>
            <w:pPr>
              <w:pStyle w:val="Compact"/>
              <w:jc w:val="left"/>
            </w:pPr>
            <w:r>
              <w:t xml:space="preserve">Zone RIP</w:t>
            </w:r>
          </w:p>
        </w:tc>
        <w:tc>
          <w:p>
            <w:pPr>
              <w:pStyle w:val="Compact"/>
              <w:jc w:val="left"/>
            </w:pPr>
            <w:r>
              <w:t xml:space="preserve">109 444</w:t>
            </w:r>
            <w:r>
              <w:t xml:space="preserve"> </w:t>
            </w:r>
            <w:r>
              <w:rPr>
                <w:i/>
              </w:rPr>
              <w:t xml:space="preserve">47.0%</w:t>
            </w:r>
          </w:p>
        </w:tc>
        <w:tc>
          <w:p>
            <w:pPr>
              <w:pStyle w:val="Compact"/>
              <w:jc w:val="left"/>
            </w:pPr>
            <w:r>
              <w:t xml:space="preserve">29 633</w:t>
            </w:r>
            <w:r>
              <w:t xml:space="preserve"> </w:t>
            </w:r>
            <w:r>
              <w:rPr>
                <w:i/>
              </w:rPr>
              <w:t xml:space="preserve">27.0%</w:t>
            </w:r>
          </w:p>
        </w:tc>
      </w:tr>
      <w:tr>
        <w:tc>
          <w:p>
            <w:pPr>
              <w:pStyle w:val="Compact"/>
              <w:jc w:val="left"/>
            </w:pPr>
            <w:r>
              <w:rPr>
                <w:b/>
              </w:rPr>
              <w:t xml:space="preserve">Total</w:t>
            </w:r>
          </w:p>
        </w:tc>
        <w:tc>
          <w:p>
            <w:pPr>
              <w:pStyle w:val="Compact"/>
              <w:jc w:val="left"/>
            </w:pPr>
            <w:r>
              <w:t xml:space="preserve">234 003</w:t>
            </w:r>
            <w:r>
              <w:t xml:space="preserve"> </w:t>
            </w:r>
            <w:r>
              <w:rPr>
                <w:i/>
              </w:rPr>
              <w:t xml:space="preserve">100%</w:t>
            </w:r>
          </w:p>
        </w:tc>
        <w:tc>
          <w:p>
            <w:pPr>
              <w:pStyle w:val="Compact"/>
              <w:jc w:val="left"/>
            </w:pPr>
            <w:r>
              <w:t xml:space="preserve">140 788</w:t>
            </w:r>
            <w:r>
              <w:t xml:space="preserve"> </w:t>
            </w:r>
            <w:r>
              <w:rPr>
                <w:i/>
              </w:rPr>
              <w:t xml:space="preserve">60.0%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2" w:name="fabriques-numériques"/>
      <w:r>
        <w:t xml:space="preserve">Fabriques numériques</w:t>
      </w:r>
      <w:bookmarkEnd w:id="22"/>
    </w:p>
    <w:p>
      <w:pPr>
        <w:pStyle w:val="FirstParagraph"/>
      </w:pPr>
      <w:r>
        <w:t xml:space="preserve">300 fabriques ont déjà été retenues au titre de</w:t>
      </w:r>
      <w:r>
        <w:t xml:space="preserve"> </w:t>
      </w:r>
      <w:r>
        <w:t xml:space="preserve">l’AMI, dont 1 en région Martinique :</w:t>
      </w:r>
    </w:p>
    <w:p>
      <w:pPr>
        <w:pStyle w:val="Compact"/>
        <w:numPr>
          <w:numId w:val="1002"/>
          <w:ilvl w:val="0"/>
        </w:numPr>
      </w:pPr>
      <w:r>
        <w:t xml:space="preserve">Martinique (972) :</w:t>
      </w:r>
    </w:p>
    <w:p>
      <w:pPr>
        <w:pStyle w:val="Compact"/>
        <w:numPr>
          <w:numId w:val="1003"/>
          <w:ilvl w:val="1"/>
        </w:numPr>
      </w:pPr>
      <w:r>
        <w:t xml:space="preserve">SCIC ODYSSEA</w:t>
      </w:r>
      <w:r>
        <w:t xml:space="preserve"> </w:t>
      </w:r>
      <w:r>
        <w:t xml:space="preserve">Dénomination établissement secondaire de la SCIC qui porte le tiers lieu en Martinique:</w:t>
      </w:r>
      <w:r>
        <w:t xml:space="preserve"> </w:t>
      </w:r>
      <w:r>
        <w:t xml:space="preserve">Lab’ Odyssea Sud Martinique à Rivière-Pilote</w:t>
      </w:r>
    </w:p>
    <w:p>
      <w:pPr>
        <w:pStyle w:val="Titre2"/>
      </w:pPr>
      <w:bookmarkStart w:id="23" w:name="manufactures-de-proximité"/>
      <w:r>
        <w:t xml:space="preserve">Manufactures de proximité</w:t>
      </w:r>
      <w:bookmarkEnd w:id="23"/>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1 dans la région :</w:t>
      </w:r>
    </w:p>
    <w:p>
      <w:pPr>
        <w:pStyle w:val="Compact"/>
        <w:numPr>
          <w:numId w:val="1004"/>
          <w:ilvl w:val="0"/>
        </w:numPr>
      </w:pPr>
      <w:r>
        <w:t xml:space="preserve">LES ATELIERS KALIBOUKA (Fort-de-France)</w:t>
      </w:r>
    </w:p>
    <w:p>
      <w:pPr>
        <w:pStyle w:val="Titre2"/>
      </w:pPr>
      <w:bookmarkStart w:id="24" w:name="hubs-territoriaux"/>
      <w:r>
        <w:t xml:space="preserve">Hubs Territoriaux</w:t>
      </w:r>
      <w:bookmarkEnd w:id="24"/>
    </w:p>
    <w:p>
      <w:pPr>
        <w:pStyle w:val="FirstParagraph"/>
      </w:pPr>
      <w:r>
        <w:t xml:space="preserve">La totalité du territoire est couverte en hubs.</w:t>
      </w:r>
    </w:p>
    <w:p>
      <w:pPr>
        <w:pStyle w:val="Corpsdetexte"/>
      </w:pPr>
      <w:r>
        <w:t xml:space="preserve">La région Martinique</w:t>
      </w:r>
      <w:r>
        <w:t xml:space="preserve"> </w:t>
      </w:r>
      <w:r>
        <w:t xml:space="preserve">.</w:t>
      </w:r>
    </w:p>
    <w:p>
      <w:pPr>
        <w:pStyle w:val="Titre2"/>
      </w:pPr>
      <w:bookmarkStart w:id="25" w:name="conseillers-numériques"/>
      <w:r>
        <w:t xml:space="preserve">Conseillers numériques</w:t>
      </w:r>
      <w:bookmarkEnd w:id="25"/>
    </w:p>
    <w:p>
      <w:pPr>
        <w:pStyle w:val="Compact"/>
        <w:numPr>
          <w:numId w:val="1005"/>
          <w:ilvl w:val="0"/>
        </w:numPr>
      </w:pPr>
      <w:r>
        <w:t xml:space="preserve">49 CNFS validés dans 33 structures d’accueil</w:t>
      </w:r>
    </w:p>
    <w:p>
      <w:pPr>
        <w:pStyle w:val="Compact"/>
        <w:numPr>
          <w:numId w:val="1005"/>
          <w:ilvl w:val="0"/>
        </w:numPr>
      </w:pPr>
      <w:r>
        <w:t xml:space="preserve">42 CNFS recrutés</w:t>
      </w:r>
    </w:p>
    <w:p>
      <w:pPr>
        <w:pStyle w:val="Compact"/>
        <w:numPr>
          <w:numId w:val="1005"/>
          <w:ilvl w:val="0"/>
        </w:numPr>
      </w:pPr>
      <w:r>
        <w:t xml:space="preserve">0 CNFS en formation</w:t>
      </w:r>
    </w:p>
    <w:p>
      <w:pPr>
        <w:pStyle w:val="Compact"/>
        <w:numPr>
          <w:numId w:val="1005"/>
          <w:ilvl w:val="0"/>
        </w:numPr>
      </w:pPr>
      <w:r>
        <w:t xml:space="preserve">34 CNFS en poste</w:t>
      </w:r>
    </w:p>
    <w:p>
      <w:pPr>
        <w:pStyle w:val="Titre2"/>
      </w:pPr>
      <w:bookmarkStart w:id="26" w:name="aidants-connect"/>
      <w:r>
        <w:t xml:space="preserve">Aidants connect</w:t>
      </w:r>
      <w:bookmarkEnd w:id="26"/>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6"/>
          <w:ilvl w:val="0"/>
        </w:numPr>
      </w:pPr>
      <w:r>
        <w:t xml:space="preserve">43 structures candidates</w:t>
      </w:r>
    </w:p>
    <w:p>
      <w:pPr>
        <w:pStyle w:val="Compact"/>
        <w:numPr>
          <w:numId w:val="1006"/>
          <w:ilvl w:val="0"/>
        </w:numPr>
      </w:pPr>
      <w:r>
        <w:t xml:space="preserve">177 aidants à habiliter au total</w:t>
      </w:r>
    </w:p>
    <w:p>
      <w:pPr>
        <w:pStyle w:val="Compact"/>
        <w:numPr>
          <w:numId w:val="1006"/>
          <w:ilvl w:val="0"/>
        </w:numPr>
      </w:pPr>
      <w:r>
        <w:t xml:space="preserve">42 structures ont finalisé leur habilitation (117 aidants formés au 16 septembre 2024)</w:t>
      </w:r>
    </w:p>
    <w:p>
      <w:pPr>
        <w:pStyle w:val="Titre2"/>
      </w:pPr>
      <w:bookmarkStart w:id="27" w:name="bases-adresses-locales"/>
      <w:r>
        <w:t xml:space="preserve">Bases adresses locales</w:t>
      </w:r>
      <w:bookmarkEnd w:id="27"/>
    </w:p>
    <w:p>
      <w:pPr>
        <w:pStyle w:val="FirstParagraph"/>
      </w:pPr>
      <w:r>
        <w:t xml:space="preserve">15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8" w:name="fraîcheur-des-données"/>
      <w:r>
        <w:t xml:space="preserve">Fraîcheur des données</w:t>
      </w:r>
      <w:bookmarkEnd w:id="28"/>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7"/>
          <w:ilvl w:val="0"/>
        </w:numPr>
      </w:pPr>
      <w:r>
        <w:t xml:space="preserve">Aidants Connect : dernière mise à jour 16 septembre 2024</w:t>
      </w:r>
    </w:p>
    <w:p>
      <w:pPr>
        <w:pStyle w:val="Compact"/>
        <w:numPr>
          <w:numId w:val="1007"/>
          <w:ilvl w:val="0"/>
        </w:numPr>
      </w:pPr>
      <w:r>
        <w:t xml:space="preserve">Arcep – Technologies par commune : dernière mise à jour 05 avril 2024</w:t>
      </w:r>
    </w:p>
    <w:p>
      <w:pPr>
        <w:pStyle w:val="Compact"/>
        <w:numPr>
          <w:numId w:val="1007"/>
          <w:ilvl w:val="0"/>
        </w:numPr>
      </w:pPr>
      <w:r>
        <w:t xml:space="preserve">Conseillers numériques : dernière mise à jour 19 septembre 2024</w:t>
      </w:r>
    </w:p>
    <w:p>
      <w:pPr>
        <w:pStyle w:val="Compact"/>
        <w:numPr>
          <w:numId w:val="1007"/>
          <w:ilvl w:val="0"/>
        </w:numPr>
      </w:pPr>
      <w:r>
        <w:t xml:space="preserve">Fabriques de Territoire : dernière mise à jour 12 septembre 2024</w:t>
      </w:r>
    </w:p>
    <w:p>
      <w:pPr>
        <w:pStyle w:val="Compact"/>
        <w:numPr>
          <w:numId w:val="1007"/>
          <w:ilvl w:val="0"/>
        </w:numPr>
      </w:pPr>
      <w:r>
        <w:t xml:space="preserve">France Mobile : dernière mise à jour 31 mai 2024</w:t>
      </w:r>
    </w:p>
    <w:p>
      <w:pPr>
        <w:pStyle w:val="Compact"/>
        <w:numPr>
          <w:numId w:val="1007"/>
          <w:ilvl w:val="0"/>
        </w:numPr>
      </w:pPr>
      <w:r>
        <w:t xml:space="preserve">Hubs territoriaux</w:t>
      </w:r>
    </w:p>
    <w:p>
      <w:pPr>
        <w:pStyle w:val="Compact"/>
        <w:numPr>
          <w:numId w:val="1007"/>
          <w:ilvl w:val="0"/>
        </w:numPr>
      </w:pPr>
      <w:r>
        <w:t xml:space="preserve">Manufactures de proximité : dernière mise à jour 12 septembre 2024</w:t>
      </w:r>
    </w:p>
    <w:p>
      <w:pPr>
        <w:pStyle w:val="Compact"/>
        <w:numPr>
          <w:numId w:val="1007"/>
          <w:ilvl w:val="0"/>
        </w:numPr>
      </w:pPr>
      <w:r>
        <w:t xml:space="preserve">Structures d’accueil conseillers numériques : dernière mise à jour 19 septembre 2024</w:t>
      </w:r>
    </w:p>
    <w:p>
      <w:pPr>
        <w:pStyle w:val="Compact"/>
        <w:numPr>
          <w:numId w:val="1007"/>
          <w:ilvl w:val="0"/>
        </w:numPr>
      </w:pPr>
      <w:r>
        <w:t xml:space="preserve">Suivi Bases adresses locales</w:t>
      </w:r>
    </w:p>
    <w:p>
      <w:pPr>
        <w:pStyle w:val="Compact"/>
        <w:numPr>
          <w:numId w:val="1007"/>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2024-09-19T02:17:13Z</dcterms:created>
  <dcterms:modified xsi:type="dcterms:W3CDTF">2024-09-19T02:17:13Z</dcterms:modified>
</cp:coreProperties>
</file>

<file path=docProps/custom.xml><?xml version="1.0" encoding="utf-8"?>
<Properties xmlns="http://schemas.openxmlformats.org/officeDocument/2006/custom-properties" xmlns:vt="http://schemas.openxmlformats.org/officeDocument/2006/docPropsVTypes"/>
</file>