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2.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a-réunion"/>
      <w:r>
        <w:t xml:space="preserve">Numérique «La Réunion»</w:t>
      </w:r>
      <w:bookmarkEnd w:id="20"/>
    </w:p>
    <w:p>
      <w:pPr>
        <w:pStyle w:val="Titre2"/>
      </w:pPr>
      <w:bookmarkStart w:id="21" w:name="france-très-haut-débit"/>
      <w:r>
        <w:t xml:space="preserve">France Très Haut Débit</w:t>
      </w:r>
      <w:bookmarkEnd w:id="21"/>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3229"/>
            <wp:effectExtent b="0" l="0" r="0" t="0"/>
            <wp:docPr descr="" title="" id="1" name="Picture"/>
            <a:graphic>
              <a:graphicData uri="http://schemas.openxmlformats.org/drawingml/2006/picture">
                <pic:pic>
                  <pic:nvPicPr>
                    <pic:cNvPr descr="/srv/insitu/outbox/infographies/haut_débit/974.png" id="0" name="Picture"/>
                    <pic:cNvPicPr>
                      <a:picLocks noChangeArrowheads="1" noChangeAspect="1"/>
                    </pic:cNvPicPr>
                  </pic:nvPicPr>
                  <pic:blipFill>
                    <a:blip r:embed="rId22"/>
                    <a:stretch>
                      <a:fillRect/>
                    </a:stretch>
                  </pic:blipFill>
                  <pic:spPr bwMode="auto">
                    <a:xfrm>
                      <a:off x="0" y="0"/>
                      <a:ext cx="4572000" cy="228322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XP Fibre et ZEOP sur 9 communes ;</w:t>
      </w:r>
    </w:p>
    <w:p>
      <w:pPr>
        <w:pStyle w:val="Compact"/>
        <w:numPr>
          <w:numId w:val="1001"/>
          <w:ilvl w:val="0"/>
        </w:numPr>
      </w:pPr>
      <w:r>
        <w:t xml:space="preserve">celle de Orange sur 9 communes ;</w:t>
      </w:r>
    </w:p>
    <w:p>
      <w:pPr>
        <w:pStyle w:val="Compact"/>
        <w:numPr>
          <w:numId w:val="1001"/>
          <w:ilvl w:val="0"/>
        </w:numPr>
      </w:pPr>
      <w:r>
        <w:t xml:space="preserve">celle de Régie Réunion THD dans la zone d’initiative publique qui comprend 7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110 998</w:t>
            </w:r>
            <w:r>
              <w:t xml:space="preserve"> </w:t>
            </w:r>
            <w:r>
              <w:rPr>
                <w:i/>
              </w:rPr>
              <w:t xml:space="preserve">22.0%</w:t>
            </w:r>
          </w:p>
        </w:tc>
        <w:tc>
          <w:p>
            <w:pPr>
              <w:pStyle w:val="Compact"/>
              <w:jc w:val="left"/>
            </w:pPr>
            <w:r>
              <w:t xml:space="preserve">103 799</w:t>
            </w:r>
            <w:r>
              <w:t xml:space="preserve"> </w:t>
            </w:r>
            <w:r>
              <w:rPr>
                <w:i/>
              </w:rPr>
              <w:t xml:space="preserve">94.0%</w:t>
            </w:r>
          </w:p>
        </w:tc>
      </w:tr>
      <w:tr>
        <w:tc>
          <w:p>
            <w:pPr>
              <w:pStyle w:val="Compact"/>
              <w:jc w:val="left"/>
            </w:pPr>
            <w:r>
              <w:t xml:space="preserve">Zone AMII</w:t>
            </w:r>
          </w:p>
        </w:tc>
        <w:tc>
          <w:p>
            <w:pPr>
              <w:pStyle w:val="Compact"/>
              <w:jc w:val="left"/>
            </w:pPr>
            <w:r>
              <w:t xml:space="preserve">361 557</w:t>
            </w:r>
            <w:r>
              <w:t xml:space="preserve"> </w:t>
            </w:r>
            <w:r>
              <w:rPr>
                <w:i/>
              </w:rPr>
              <w:t xml:space="preserve">73.0%</w:t>
            </w:r>
          </w:p>
        </w:tc>
        <w:tc>
          <w:p>
            <w:pPr>
              <w:pStyle w:val="Compact"/>
              <w:jc w:val="left"/>
            </w:pPr>
            <w:r>
              <w:t xml:space="preserve">336 467</w:t>
            </w:r>
            <w:r>
              <w:t xml:space="preserve"> </w:t>
            </w:r>
            <w:r>
              <w:rPr>
                <w:i/>
              </w:rPr>
              <w:t xml:space="preserve">93.0%</w:t>
            </w:r>
          </w:p>
        </w:tc>
      </w:tr>
      <w:tr>
        <w:tc>
          <w:p>
            <w:pPr>
              <w:pStyle w:val="Compact"/>
              <w:jc w:val="left"/>
            </w:pPr>
            <w:r>
              <w:t xml:space="preserve">Zone RIP</w:t>
            </w:r>
          </w:p>
        </w:tc>
        <w:tc>
          <w:p>
            <w:pPr>
              <w:pStyle w:val="Compact"/>
              <w:jc w:val="left"/>
            </w:pPr>
            <w:r>
              <w:t xml:space="preserve">25 092</w:t>
            </w:r>
            <w:r>
              <w:t xml:space="preserve"> </w:t>
            </w:r>
            <w:r>
              <w:rPr>
                <w:i/>
              </w:rPr>
              <w:t xml:space="preserve">5.0%</w:t>
            </w:r>
          </w:p>
        </w:tc>
        <w:tc>
          <w:p>
            <w:pPr>
              <w:pStyle w:val="Compact"/>
              <w:jc w:val="left"/>
            </w:pPr>
            <w:r>
              <w:t xml:space="preserve">24 345</w:t>
            </w:r>
            <w:r>
              <w:t xml:space="preserve"> </w:t>
            </w:r>
            <w:r>
              <w:rPr>
                <w:i/>
              </w:rPr>
              <w:t xml:space="preserve">97.0%</w:t>
            </w:r>
          </w:p>
        </w:tc>
      </w:tr>
      <w:tr>
        <w:tc>
          <w:p>
            <w:pPr>
              <w:pStyle w:val="Compact"/>
              <w:jc w:val="left"/>
            </w:pPr>
            <w:r>
              <w:rPr>
                <w:b/>
              </w:rPr>
              <w:t xml:space="preserve">Total</w:t>
            </w:r>
          </w:p>
        </w:tc>
        <w:tc>
          <w:p>
            <w:pPr>
              <w:pStyle w:val="Compact"/>
              <w:jc w:val="left"/>
            </w:pPr>
            <w:r>
              <w:t xml:space="preserve">497 647</w:t>
            </w:r>
            <w:r>
              <w:t xml:space="preserve"> </w:t>
            </w:r>
            <w:r>
              <w:rPr>
                <w:i/>
              </w:rPr>
              <w:t xml:space="preserve">100%</w:t>
            </w:r>
          </w:p>
        </w:tc>
        <w:tc>
          <w:p>
            <w:pPr>
              <w:pStyle w:val="Compact"/>
              <w:jc w:val="left"/>
            </w:pPr>
            <w:r>
              <w:t xml:space="preserve">464 611</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6 en région «La Réunion» et 6 dans le département :</w:t>
      </w:r>
    </w:p>
    <w:p>
      <w:pPr>
        <w:pStyle w:val="Compact"/>
        <w:numPr>
          <w:numId w:val="1002"/>
          <w:ilvl w:val="0"/>
        </w:numPr>
      </w:pPr>
      <w:r>
        <w:t xml:space="preserve">Vavang’art SCIC SARL au capital variable à Entre-Deux</w:t>
      </w:r>
    </w:p>
    <w:p>
      <w:pPr>
        <w:pStyle w:val="Compact"/>
        <w:numPr>
          <w:numId w:val="1002"/>
          <w:ilvl w:val="0"/>
        </w:numPr>
      </w:pPr>
      <w:r>
        <w:t xml:space="preserve">Ekopratik à L’Étang-Salé</w:t>
      </w:r>
    </w:p>
    <w:p>
      <w:pPr>
        <w:pStyle w:val="Compact"/>
        <w:numPr>
          <w:numId w:val="1002"/>
          <w:ilvl w:val="0"/>
        </w:numPr>
      </w:pPr>
      <w:r>
        <w:t xml:space="preserve">Commune de Saint-Benoît à Saint-Benoît</w:t>
      </w:r>
    </w:p>
    <w:p>
      <w:pPr>
        <w:pStyle w:val="Compact"/>
        <w:numPr>
          <w:numId w:val="1002"/>
          <w:ilvl w:val="0"/>
        </w:numPr>
      </w:pPr>
      <w:r>
        <w:t xml:space="preserve">Association SOLIDARNUM à Saint-Denis</w:t>
      </w:r>
    </w:p>
    <w:p>
      <w:pPr>
        <w:pStyle w:val="Compact"/>
        <w:numPr>
          <w:numId w:val="1002"/>
          <w:ilvl w:val="0"/>
        </w:numPr>
      </w:pPr>
      <w:r>
        <w:t xml:space="preserve">La raffinerie - Les Rencontres Alternatives à Saint-Paul</w:t>
      </w:r>
    </w:p>
    <w:p>
      <w:pPr>
        <w:pStyle w:val="Compact"/>
        <w:numPr>
          <w:numId w:val="1002"/>
          <w:ilvl w:val="0"/>
        </w:numPr>
      </w:pPr>
      <w:r>
        <w:t xml:space="preserve">EMERGENCE-OI - Association à Saint-Pierre</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RunAnanasFactory (Saint-Pierre)</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«La Réunion» est couverte par le(s) Hub(s) :</w:t>
      </w:r>
      <w:r>
        <w:t xml:space="preserve"> </w:t>
      </w:r>
      <w:r>
        <w:t xml:space="preserve">.</w:t>
      </w:r>
    </w:p>
    <w:p>
      <w:pPr>
        <w:pStyle w:val="Titre2"/>
      </w:pPr>
      <w:bookmarkStart w:id="26" w:name="conseillers-numériques"/>
      <w:r>
        <w:t xml:space="preserve">Conseillers numériques</w:t>
      </w:r>
      <w:bookmarkEnd w:id="26"/>
    </w:p>
    <w:p>
      <w:pPr>
        <w:pStyle w:val="Compact"/>
        <w:numPr>
          <w:numId w:val="1004"/>
          <w:ilvl w:val="0"/>
        </w:numPr>
      </w:pPr>
      <w:r>
        <w:t xml:space="preserve">71 CNFS validés dans 50 structures d’accueil</w:t>
      </w:r>
    </w:p>
    <w:p>
      <w:pPr>
        <w:pStyle w:val="Compact"/>
        <w:numPr>
          <w:numId w:val="1004"/>
          <w:ilvl w:val="0"/>
        </w:numPr>
      </w:pPr>
      <w:r>
        <w:t xml:space="preserve">65 CNFS recrutés</w:t>
      </w:r>
    </w:p>
    <w:p>
      <w:pPr>
        <w:pStyle w:val="Compact"/>
        <w:numPr>
          <w:numId w:val="1004"/>
          <w:ilvl w:val="0"/>
        </w:numPr>
      </w:pPr>
      <w:r>
        <w:t xml:space="preserve">0 CNFS en formation</w:t>
      </w:r>
    </w:p>
    <w:p>
      <w:pPr>
        <w:pStyle w:val="Compact"/>
        <w:numPr>
          <w:numId w:val="1004"/>
          <w:ilvl w:val="0"/>
        </w:numPr>
      </w:pPr>
      <w:r>
        <w:t xml:space="preserve">55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98 structures candidates</w:t>
      </w:r>
    </w:p>
    <w:p>
      <w:pPr>
        <w:pStyle w:val="Compact"/>
        <w:numPr>
          <w:numId w:val="1005"/>
          <w:ilvl w:val="0"/>
        </w:numPr>
      </w:pPr>
      <w:r>
        <w:t xml:space="preserve">615 aidants à habiliter au total</w:t>
      </w:r>
    </w:p>
    <w:p>
      <w:pPr>
        <w:pStyle w:val="Compact"/>
        <w:numPr>
          <w:numId w:val="1005"/>
          <w:ilvl w:val="0"/>
        </w:numPr>
      </w:pPr>
      <w:r>
        <w:t xml:space="preserve">97 structures ont finalisé leur habilitation (543 aidants formés au 16 septembre 2024)</w:t>
      </w:r>
    </w:p>
    <w:p>
      <w:pPr>
        <w:pStyle w:val="Titre2"/>
      </w:pPr>
      <w:bookmarkStart w:id="28" w:name="bases-adresses-locales"/>
      <w:r>
        <w:t xml:space="preserve">Bases adresses locales</w:t>
      </w:r>
      <w:bookmarkEnd w:id="28"/>
    </w:p>
    <w:p>
      <w:pPr>
        <w:pStyle w:val="FirstParagraph"/>
      </w:pPr>
      <w:r>
        <w:t xml:space="preserve">10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2" Target="media/rId22.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2024-09-19T02:17:10Z</dcterms:created>
  <dcterms:modified xsi:type="dcterms:W3CDTF">2024-09-19T02:17:10Z</dcterms:modified>
</cp:coreProperties>
</file>

<file path=docProps/custom.xml><?xml version="1.0" encoding="utf-8"?>
<Properties xmlns="http://schemas.openxmlformats.org/officeDocument/2006/custom-properties" xmlns:vt="http://schemas.openxmlformats.org/officeDocument/2006/docPropsVTypes"/>
</file>