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2.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guyane"/>
      <w:r>
        <w:t xml:space="preserve">Numérique «Guyane»</w:t>
      </w:r>
      <w:bookmarkEnd w:id="20"/>
    </w:p>
    <w:p>
      <w:pPr>
        <w:pStyle w:val="Titre2"/>
      </w:pPr>
      <w:bookmarkStart w:id="21" w:name="france-très-haut-débit"/>
      <w:r>
        <w:t xml:space="preserve">France Très Haut Débit</w:t>
      </w:r>
      <w:bookmarkEnd w:id="21"/>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08411"/>
            <wp:effectExtent b="0" l="0" r="0" t="0"/>
            <wp:docPr descr="" title="" id="1" name="Picture"/>
            <a:graphic>
              <a:graphicData uri="http://schemas.openxmlformats.org/drawingml/2006/picture">
                <pic:pic>
                  <pic:nvPicPr>
                    <pic:cNvPr descr="/srv/insitu/outbox/infographies/haut_débit/973.png" id="0" name="Picture"/>
                    <pic:cNvPicPr>
                      <a:picLocks noChangeArrowheads="1" noChangeAspect="1"/>
                    </pic:cNvPicPr>
                  </pic:nvPicPr>
                  <pic:blipFill>
                    <a:blip r:embed="rId22"/>
                    <a:stretch>
                      <a:fillRect/>
                    </a:stretch>
                  </pic:blipFill>
                  <pic:spPr bwMode="auto">
                    <a:xfrm>
                      <a:off x="0" y="0"/>
                      <a:ext cx="4572000" cy="2308411"/>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celle de Guyacom et Orange sur 4 communes ;</w:t>
      </w:r>
    </w:p>
    <w:p>
      <w:pPr>
        <w:pStyle w:val="Compact"/>
        <w:numPr>
          <w:numId w:val="1001"/>
          <w:ilvl w:val="0"/>
        </w:numPr>
      </w:pPr>
      <w:r>
        <w:t xml:space="preserve">celle de Orange sur 2 communes ;</w:t>
      </w:r>
    </w:p>
    <w:p>
      <w:pPr>
        <w:pStyle w:val="Compact"/>
        <w:numPr>
          <w:numId w:val="1001"/>
          <w:ilvl w:val="0"/>
        </w:numPr>
      </w:pPr>
      <w:r>
        <w:t xml:space="preserve">celle de CT Guyane et Ville de Kourou dans la zone d’initiative publique qui comprend 19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10 364</w:t>
            </w:r>
            <w:r>
              <w:t xml:space="preserve"> </w:t>
            </w:r>
            <w:r>
              <w:rPr>
                <w:i/>
              </w:rPr>
              <w:t xml:space="preserve">10.0%</w:t>
            </w:r>
          </w:p>
        </w:tc>
        <w:tc>
          <w:p>
            <w:pPr>
              <w:pStyle w:val="Compact"/>
              <w:jc w:val="left"/>
            </w:pPr>
            <w:r>
              <w:t xml:space="preserve">3 502</w:t>
            </w:r>
            <w:r>
              <w:t xml:space="preserve"> </w:t>
            </w:r>
            <w:r>
              <w:rPr>
                <w:i/>
              </w:rPr>
              <w:t xml:space="preserve">34.0%</w:t>
            </w:r>
          </w:p>
        </w:tc>
      </w:tr>
      <w:tr>
        <w:tc>
          <w:p>
            <w:pPr>
              <w:pStyle w:val="Compact"/>
              <w:jc w:val="left"/>
            </w:pPr>
            <w:r>
              <w:t xml:space="preserve">Zone AMII</w:t>
            </w:r>
          </w:p>
        </w:tc>
        <w:tc>
          <w:p>
            <w:pPr>
              <w:pStyle w:val="Compact"/>
              <w:jc w:val="left"/>
            </w:pPr>
            <w:r>
              <w:t xml:space="preserve">46 821</w:t>
            </w:r>
            <w:r>
              <w:t xml:space="preserve"> </w:t>
            </w:r>
            <w:r>
              <w:rPr>
                <w:i/>
              </w:rPr>
              <w:t xml:space="preserve">44.0%</w:t>
            </w:r>
          </w:p>
        </w:tc>
        <w:tc>
          <w:p>
            <w:pPr>
              <w:pStyle w:val="Compact"/>
              <w:jc w:val="left"/>
            </w:pPr>
            <w:r>
              <w:t xml:space="preserve">41 770</w:t>
            </w:r>
            <w:r>
              <w:t xml:space="preserve"> </w:t>
            </w:r>
            <w:r>
              <w:rPr>
                <w:i/>
              </w:rPr>
              <w:t xml:space="preserve">89.0%</w:t>
            </w:r>
          </w:p>
        </w:tc>
      </w:tr>
      <w:tr>
        <w:tc>
          <w:p>
            <w:pPr>
              <w:pStyle w:val="Compact"/>
              <w:jc w:val="left"/>
            </w:pPr>
            <w:r>
              <w:t xml:space="preserve">Zone RIP</w:t>
            </w:r>
          </w:p>
        </w:tc>
        <w:tc>
          <w:p>
            <w:pPr>
              <w:pStyle w:val="Compact"/>
              <w:jc w:val="left"/>
            </w:pPr>
            <w:r>
              <w:t xml:space="preserve">48 596</w:t>
            </w:r>
            <w:r>
              <w:t xml:space="preserve"> </w:t>
            </w:r>
            <w:r>
              <w:rPr>
                <w:i/>
              </w:rPr>
              <w:t xml:space="preserve">46.0%</w:t>
            </w:r>
          </w:p>
        </w:tc>
        <w:tc>
          <w:p>
            <w:pPr>
              <w:pStyle w:val="Compact"/>
              <w:jc w:val="left"/>
            </w:pPr>
            <w:r>
              <w:t xml:space="preserve">27 096</w:t>
            </w:r>
            <w:r>
              <w:t xml:space="preserve"> </w:t>
            </w:r>
            <w:r>
              <w:rPr>
                <w:i/>
              </w:rPr>
              <w:t xml:space="preserve">56.0%</w:t>
            </w:r>
          </w:p>
        </w:tc>
      </w:tr>
      <w:tr>
        <w:tc>
          <w:p>
            <w:pPr>
              <w:pStyle w:val="Compact"/>
              <w:jc w:val="left"/>
            </w:pPr>
            <w:r>
              <w:rPr>
                <w:b/>
              </w:rPr>
              <w:t xml:space="preserve">Total</w:t>
            </w:r>
          </w:p>
        </w:tc>
        <w:tc>
          <w:p>
            <w:pPr>
              <w:pStyle w:val="Compact"/>
              <w:jc w:val="left"/>
            </w:pPr>
            <w:r>
              <w:t xml:space="preserve">105 781</w:t>
            </w:r>
            <w:r>
              <w:t xml:space="preserve"> </w:t>
            </w:r>
            <w:r>
              <w:rPr>
                <w:i/>
              </w:rPr>
              <w:t xml:space="preserve">100%</w:t>
            </w:r>
          </w:p>
        </w:tc>
        <w:tc>
          <w:p>
            <w:pPr>
              <w:pStyle w:val="Compact"/>
              <w:jc w:val="left"/>
            </w:pPr>
            <w:r>
              <w:t xml:space="preserve">72 368</w:t>
            </w:r>
            <w:r>
              <w:t xml:space="preserve"> </w:t>
            </w:r>
            <w:r>
              <w:rPr>
                <w:i/>
              </w:rPr>
              <w:t xml:space="preserve">68.0%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3" w:name="fabriques-numériques"/>
      <w:r>
        <w:t xml:space="preserve">Fabriques numériques</w:t>
      </w:r>
      <w:bookmarkEnd w:id="23"/>
    </w:p>
    <w:p>
      <w:pPr>
        <w:pStyle w:val="FirstParagraph"/>
      </w:pPr>
      <w:r>
        <w:t xml:space="preserve">300 fabriques ont déjà été retenues au titre de</w:t>
      </w:r>
      <w:r>
        <w:t xml:space="preserve"> </w:t>
      </w:r>
      <w:r>
        <w:t xml:space="preserve">l’AMI, dont 3 en région «Guyane» et 3 dans le département :</w:t>
      </w:r>
    </w:p>
    <w:p>
      <w:pPr>
        <w:pStyle w:val="Compact"/>
        <w:numPr>
          <w:numId w:val="1002"/>
          <w:ilvl w:val="0"/>
        </w:numPr>
      </w:pPr>
      <w:r>
        <w:t xml:space="preserve">Association de formations et d’actions sociales Martinique Guyane pour le collectif associatif Wishi-Wichi à Cayenne</w:t>
      </w:r>
    </w:p>
    <w:p>
      <w:pPr>
        <w:pStyle w:val="Compact"/>
        <w:numPr>
          <w:numId w:val="1002"/>
          <w:ilvl w:val="0"/>
        </w:numPr>
      </w:pPr>
      <w:r>
        <w:t xml:space="preserve">Centre des savoirs de la forêt Panakuh à Saint-Georges</w:t>
      </w:r>
    </w:p>
    <w:p>
      <w:pPr>
        <w:pStyle w:val="Compact"/>
        <w:numPr>
          <w:numId w:val="1002"/>
          <w:ilvl w:val="0"/>
        </w:numPr>
      </w:pPr>
      <w:r>
        <w:t xml:space="preserve">MANIFACT à Saint-Laurent-du-Maroni</w:t>
      </w:r>
    </w:p>
    <w:p>
      <w:pPr>
        <w:pStyle w:val="Titre2"/>
      </w:pPr>
      <w:bookmarkStart w:id="24" w:name="manufactures-de-proximité"/>
      <w:r>
        <w:t xml:space="preserve">Manufactures de proximité</w:t>
      </w:r>
      <w:bookmarkEnd w:id="24"/>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Manufacture de Guyane (Saint-Georges)</w:t>
      </w:r>
    </w:p>
    <w:p>
      <w:pPr>
        <w:pStyle w:val="Titre2"/>
      </w:pPr>
      <w:bookmarkStart w:id="25" w:name="hubs-territoriaux"/>
      <w:r>
        <w:t xml:space="preserve">Hubs Territoriaux</w:t>
      </w:r>
      <w:bookmarkEnd w:id="25"/>
    </w:p>
    <w:p>
      <w:pPr>
        <w:pStyle w:val="FirstParagraph"/>
      </w:pPr>
      <w:r>
        <w:t xml:space="preserve">La totalité du territoire est couverte en hubs.</w:t>
      </w:r>
    </w:p>
    <w:p>
      <w:pPr>
        <w:pStyle w:val="Corpsdetexte"/>
      </w:pPr>
      <w:r>
        <w:t xml:space="preserve">La région «Guyane» est couverte par le(s) Hub(s) :</w:t>
      </w:r>
      <w:r>
        <w:t xml:space="preserve"> </w:t>
      </w:r>
      <w:r>
        <w:t xml:space="preserve">.</w:t>
      </w:r>
    </w:p>
    <w:p>
      <w:pPr>
        <w:pStyle w:val="Titre2"/>
      </w:pPr>
      <w:bookmarkStart w:id="26" w:name="conseillers-numériques"/>
      <w:r>
        <w:t xml:space="preserve">Conseillers numériques</w:t>
      </w:r>
      <w:bookmarkEnd w:id="26"/>
    </w:p>
    <w:p>
      <w:pPr>
        <w:pStyle w:val="Compact"/>
        <w:numPr>
          <w:numId w:val="1004"/>
          <w:ilvl w:val="0"/>
        </w:numPr>
      </w:pPr>
      <w:r>
        <w:t xml:space="preserve">47 CNFS validés dans 30 structures d’accueil</w:t>
      </w:r>
    </w:p>
    <w:p>
      <w:pPr>
        <w:pStyle w:val="Compact"/>
        <w:numPr>
          <w:numId w:val="1004"/>
          <w:ilvl w:val="0"/>
        </w:numPr>
      </w:pPr>
      <w:r>
        <w:t xml:space="preserve">35 CNFS recrutés</w:t>
      </w:r>
    </w:p>
    <w:p>
      <w:pPr>
        <w:pStyle w:val="Compact"/>
        <w:numPr>
          <w:numId w:val="1004"/>
          <w:ilvl w:val="0"/>
        </w:numPr>
      </w:pPr>
      <w:r>
        <w:t xml:space="preserve">0 CNFS en formation</w:t>
      </w:r>
    </w:p>
    <w:p>
      <w:pPr>
        <w:pStyle w:val="Compact"/>
        <w:numPr>
          <w:numId w:val="1004"/>
          <w:ilvl w:val="0"/>
        </w:numPr>
      </w:pPr>
      <w:r>
        <w:t xml:space="preserve">24 CNFS en poste</w:t>
      </w:r>
    </w:p>
    <w:p>
      <w:pPr>
        <w:pStyle w:val="Titre2"/>
      </w:pPr>
      <w:bookmarkStart w:id="27" w:name="aidants-connect"/>
      <w:r>
        <w:t xml:space="preserve">Aidants connect</w:t>
      </w:r>
      <w:bookmarkEnd w:id="27"/>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13 structures candidates</w:t>
      </w:r>
    </w:p>
    <w:p>
      <w:pPr>
        <w:pStyle w:val="Compact"/>
        <w:numPr>
          <w:numId w:val="1005"/>
          <w:ilvl w:val="0"/>
        </w:numPr>
      </w:pPr>
      <w:r>
        <w:t xml:space="preserve">66 aidants à habiliter au total</w:t>
      </w:r>
    </w:p>
    <w:p>
      <w:pPr>
        <w:pStyle w:val="Compact"/>
        <w:numPr>
          <w:numId w:val="1005"/>
          <w:ilvl w:val="0"/>
        </w:numPr>
      </w:pPr>
      <w:r>
        <w:t xml:space="preserve">13 structures ont finalisé leur habilitation (39 aidants formés au 16 septembre 2024)</w:t>
      </w:r>
    </w:p>
    <w:p>
      <w:pPr>
        <w:pStyle w:val="Titre2"/>
      </w:pPr>
      <w:bookmarkStart w:id="28" w:name="bases-adresses-locales"/>
      <w:r>
        <w:t xml:space="preserve">Bases adresses locales</w:t>
      </w:r>
      <w:bookmarkEnd w:id="28"/>
    </w:p>
    <w:p>
      <w:pPr>
        <w:pStyle w:val="FirstParagraph"/>
      </w:pPr>
      <w:r>
        <w:t xml:space="preserve">12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9" w:name="fraîcheur-des-données"/>
      <w:r>
        <w:t xml:space="preserve">Fraîcheur des données</w:t>
      </w:r>
      <w:bookmarkEnd w:id="29"/>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2" Target="media/rId22.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2024-09-19T02:17:07Z</dcterms:created>
  <dcterms:modified xsi:type="dcterms:W3CDTF">2024-09-19T02:17:07Z</dcterms:modified>
</cp:coreProperties>
</file>

<file path=docProps/custom.xml><?xml version="1.0" encoding="utf-8"?>
<Properties xmlns="http://schemas.openxmlformats.org/officeDocument/2006/custom-properties" xmlns:vt="http://schemas.openxmlformats.org/officeDocument/2006/docPropsVTypes"/>
</file>