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essonne"/>
      <w:r>
        <w:t xml:space="preserve">Numérique «Essonne»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«Île-de-France», 124 sites ont été identifiés dont 28 dans le</w:t>
      </w:r>
      <w:r>
        <w:t xml:space="preserve"> </w:t>
      </w:r>
      <w:r>
        <w:t xml:space="preserve">département, parmi eux, 11 ont d’ores et déjà été mis en</w:t>
      </w:r>
      <w:r>
        <w:t xml:space="preserve"> </w:t>
      </w:r>
      <w:r>
        <w:t xml:space="preserve">service (sur un total de 53 mis en service au niveau régional).</w:t>
      </w:r>
    </w:p>
    <w:p>
      <w:pPr>
        <w:pStyle w:val="Corpsdetexte"/>
      </w:pPr>
      <w:r>
        <w:t xml:space="preserve">Dans le cadre du dispositif 4G fixe, dans la région</w:t>
      </w:r>
      <w:r>
        <w:t xml:space="preserve"> </w:t>
      </w:r>
      <w:r>
        <w:t xml:space="preserve">«Île-de-France», 2 sites ont été identifiés dont 1 dans le</w:t>
      </w:r>
      <w:r>
        <w:t xml:space="preserve"> </w:t>
      </w:r>
      <w:r>
        <w:t xml:space="preserve">département, aucun n’a été mis en service</w:t>
      </w:r>
      <w:r>
        <w:t xml:space="preserve"> </w:t>
      </w:r>
      <w:r>
        <w:t xml:space="preserve">sur 0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0464"/>
            <wp:effectExtent b="0" l="0" r="0" t="0"/>
            <wp:docPr descr="" title="" id="1" name="Picture"/>
            <a:graphic>
              <a:graphicData uri="http://schemas.openxmlformats.org/drawingml/2006/picture">
                <pic:pic>
                  <pic:nvPicPr>
                    <pic:cNvPr descr="/srv/insitu/outbox/infographies/haut_débit/91.png" id="0" name="Picture"/>
                    <pic:cNvPicPr>
                      <a:picLocks noChangeArrowheads="1" noChangeAspect="1"/>
                    </pic:cNvPicPr>
                  </pic:nvPicPr>
                  <pic:blipFill>
                    <a:blip r:embed="rId23"/>
                    <a:stretch>
                      <a:fillRect/>
                    </a:stretch>
                  </pic:blipFill>
                  <pic:spPr bwMode="auto">
                    <a:xfrm>
                      <a:off x="0" y="0"/>
                      <a:ext cx="4572000" cy="2280464"/>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L’initiative privée des opérateurs dans la zone très dense, qui comprend 3 communes ;</w:t>
      </w:r>
    </w:p>
    <w:p>
      <w:pPr>
        <w:pStyle w:val="Compact"/>
        <w:numPr>
          <w:numId w:val="1001"/>
          <w:ilvl w:val="0"/>
        </w:numPr>
      </w:pPr>
      <w:r>
        <w:t xml:space="preserve">celle de Orange et XP Fibre sur 50 communes ;</w:t>
      </w:r>
    </w:p>
    <w:p>
      <w:pPr>
        <w:pStyle w:val="Compact"/>
        <w:numPr>
          <w:numId w:val="1001"/>
          <w:ilvl w:val="0"/>
        </w:numPr>
      </w:pPr>
      <w:r>
        <w:t xml:space="preserve">celle de Communauté d’agglomération Cœur d’Essonne Agglomération, Communauté d’agglomération Grand Paris Sud Seine Essonne Sénart, Communauté d’agglomération Paris-Saclay et Essonne Numérique dans la zone d’initiative publique qui comprend 142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53 539</w:t>
            </w:r>
            <w:r>
              <w:t xml:space="preserve"> </w:t>
            </w:r>
            <w:r>
              <w:rPr>
                <w:i/>
              </w:rPr>
              <w:t xml:space="preserve">8.0%</w:t>
            </w:r>
          </w:p>
        </w:tc>
        <w:tc>
          <w:p>
            <w:pPr>
              <w:pStyle w:val="Compact"/>
              <w:jc w:val="left"/>
            </w:pPr>
            <w:r>
              <w:t xml:space="preserve">50 658</w:t>
            </w:r>
            <w:r>
              <w:t xml:space="preserve"> </w:t>
            </w:r>
            <w:r>
              <w:rPr>
                <w:i/>
              </w:rPr>
              <w:t xml:space="preserve">95.0%</w:t>
            </w:r>
          </w:p>
        </w:tc>
      </w:tr>
      <w:tr>
        <w:tc>
          <w:p>
            <w:pPr>
              <w:pStyle w:val="Compact"/>
              <w:jc w:val="left"/>
            </w:pPr>
            <w:r>
              <w:t xml:space="preserve">Zone AMII</w:t>
            </w:r>
          </w:p>
        </w:tc>
        <w:tc>
          <w:p>
            <w:pPr>
              <w:pStyle w:val="Compact"/>
              <w:jc w:val="left"/>
            </w:pPr>
            <w:r>
              <w:t xml:space="preserve">461 263</w:t>
            </w:r>
            <w:r>
              <w:t xml:space="preserve"> </w:t>
            </w:r>
            <w:r>
              <w:rPr>
                <w:i/>
              </w:rPr>
              <w:t xml:space="preserve">66.0%</w:t>
            </w:r>
          </w:p>
        </w:tc>
        <w:tc>
          <w:p>
            <w:pPr>
              <w:pStyle w:val="Compact"/>
              <w:jc w:val="left"/>
            </w:pPr>
            <w:r>
              <w:t xml:space="preserve">438 736</w:t>
            </w:r>
            <w:r>
              <w:t xml:space="preserve"> </w:t>
            </w:r>
            <w:r>
              <w:rPr>
                <w:i/>
              </w:rPr>
              <w:t xml:space="preserve">95.0%</w:t>
            </w:r>
          </w:p>
        </w:tc>
      </w:tr>
      <w:tr>
        <w:tc>
          <w:p>
            <w:pPr>
              <w:pStyle w:val="Compact"/>
              <w:jc w:val="left"/>
            </w:pPr>
            <w:r>
              <w:t xml:space="preserve">Zone RIP</w:t>
            </w:r>
          </w:p>
        </w:tc>
        <w:tc>
          <w:p>
            <w:pPr>
              <w:pStyle w:val="Compact"/>
              <w:jc w:val="left"/>
            </w:pPr>
            <w:r>
              <w:t xml:space="preserve">188 802</w:t>
            </w:r>
            <w:r>
              <w:t xml:space="preserve"> </w:t>
            </w:r>
            <w:r>
              <w:rPr>
                <w:i/>
              </w:rPr>
              <w:t xml:space="preserve">27.0%</w:t>
            </w:r>
          </w:p>
        </w:tc>
        <w:tc>
          <w:p>
            <w:pPr>
              <w:pStyle w:val="Compact"/>
              <w:jc w:val="left"/>
            </w:pPr>
            <w:r>
              <w:t xml:space="preserve">178 562</w:t>
            </w:r>
            <w:r>
              <w:t xml:space="preserve"> </w:t>
            </w:r>
            <w:r>
              <w:rPr>
                <w:i/>
              </w:rPr>
              <w:t xml:space="preserve">95.0%</w:t>
            </w:r>
          </w:p>
        </w:tc>
      </w:tr>
      <w:tr>
        <w:tc>
          <w:p>
            <w:pPr>
              <w:pStyle w:val="Compact"/>
              <w:jc w:val="left"/>
            </w:pPr>
            <w:r>
              <w:rPr>
                <w:b/>
              </w:rPr>
              <w:t xml:space="preserve">Total</w:t>
            </w:r>
          </w:p>
        </w:tc>
        <w:tc>
          <w:p>
            <w:pPr>
              <w:pStyle w:val="Compact"/>
              <w:jc w:val="left"/>
            </w:pPr>
            <w:r>
              <w:t xml:space="preserve">703 604</w:t>
            </w:r>
            <w:r>
              <w:t xml:space="preserve"> </w:t>
            </w:r>
            <w:r>
              <w:rPr>
                <w:i/>
              </w:rPr>
              <w:t xml:space="preserve">100%</w:t>
            </w:r>
          </w:p>
        </w:tc>
        <w:tc>
          <w:p>
            <w:pPr>
              <w:pStyle w:val="Compact"/>
              <w:jc w:val="left"/>
            </w:pPr>
            <w:r>
              <w:t xml:space="preserve">667 956</w:t>
            </w:r>
            <w:r>
              <w:t xml:space="preserve"> </w:t>
            </w:r>
            <w:r>
              <w:rPr>
                <w:i/>
              </w:rPr>
              <w:t xml:space="preserve">95.0%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36 en région «Île-de-France» et 2 dans le département :</w:t>
      </w:r>
    </w:p>
    <w:p>
      <w:pPr>
        <w:pStyle w:val="Compact"/>
        <w:numPr>
          <w:numId w:val="1002"/>
          <w:ilvl w:val="0"/>
        </w:numPr>
      </w:pPr>
      <w:r>
        <w:t xml:space="preserve">Faire vivre les serres de Beaudreville à Gometz-la-Ville</w:t>
      </w:r>
    </w:p>
    <w:p>
      <w:pPr>
        <w:pStyle w:val="Compact"/>
        <w:numPr>
          <w:numId w:val="1002"/>
          <w:ilvl w:val="0"/>
        </w:numPr>
      </w:pPr>
      <w:r>
        <w:t xml:space="preserve">Consortium FAIRE LAB à Ris-Orangis</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Val Solidaire (Épinay-sous-Sénart)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«Île-de-France» est couverte par le(s) Hub(s) :</w:t>
      </w:r>
      <w:r>
        <w:t xml:space="preserve"> </w:t>
      </w:r>
      <w:r>
        <w:t xml:space="preserve">Francil-in.</w:t>
      </w:r>
    </w:p>
    <w:p>
      <w:pPr>
        <w:pStyle w:val="Titre2"/>
      </w:pPr>
      <w:bookmarkStart w:id="27" w:name="conseillers-numériques"/>
      <w:r>
        <w:t xml:space="preserve">Conseillers numériques</w:t>
      </w:r>
      <w:bookmarkEnd w:id="27"/>
    </w:p>
    <w:p>
      <w:pPr>
        <w:pStyle w:val="Compact"/>
        <w:numPr>
          <w:numId w:val="1004"/>
          <w:ilvl w:val="0"/>
        </w:numPr>
      </w:pPr>
      <w:r>
        <w:t xml:space="preserve">57 CNFS validés dans 32 structures d’accueil</w:t>
      </w:r>
    </w:p>
    <w:p>
      <w:pPr>
        <w:pStyle w:val="Compact"/>
        <w:numPr>
          <w:numId w:val="1004"/>
          <w:ilvl w:val="0"/>
        </w:numPr>
      </w:pPr>
      <w:r>
        <w:t xml:space="preserve">42 CNFS recrutés</w:t>
      </w:r>
    </w:p>
    <w:p>
      <w:pPr>
        <w:pStyle w:val="Compact"/>
        <w:numPr>
          <w:numId w:val="1004"/>
          <w:ilvl w:val="0"/>
        </w:numPr>
      </w:pPr>
      <w:r>
        <w:t xml:space="preserve">0 CNFS en formation</w:t>
      </w:r>
    </w:p>
    <w:p>
      <w:pPr>
        <w:pStyle w:val="Compact"/>
        <w:numPr>
          <w:numId w:val="1004"/>
          <w:ilvl w:val="0"/>
        </w:numPr>
      </w:pPr>
      <w:r>
        <w:t xml:space="preserve">35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95 structures candidates</w:t>
      </w:r>
    </w:p>
    <w:p>
      <w:pPr>
        <w:pStyle w:val="Compact"/>
        <w:numPr>
          <w:numId w:val="1005"/>
          <w:ilvl w:val="0"/>
        </w:numPr>
      </w:pPr>
      <w:r>
        <w:t xml:space="preserve">385 aidants à habiliter au total</w:t>
      </w:r>
    </w:p>
    <w:p>
      <w:pPr>
        <w:pStyle w:val="Compact"/>
        <w:numPr>
          <w:numId w:val="1005"/>
          <w:ilvl w:val="0"/>
        </w:numPr>
      </w:pPr>
      <w:r>
        <w:t xml:space="preserve">86 structures ont finalisé leur habilitation (281 aidants formés au 16 septembre 2024)</w:t>
      </w:r>
    </w:p>
    <w:p>
      <w:pPr>
        <w:pStyle w:val="Titre2"/>
      </w:pPr>
      <w:bookmarkStart w:id="29" w:name="bases-adresses-locales"/>
      <w:r>
        <w:t xml:space="preserve">Bases adresses locales</w:t>
      </w:r>
      <w:bookmarkEnd w:id="29"/>
    </w:p>
    <w:p>
      <w:pPr>
        <w:pStyle w:val="FirstParagraph"/>
      </w:pPr>
      <w:r>
        <w:t xml:space="preserve">73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2024-09-19T02:16:55Z</dcterms:created>
  <dcterms:modified xsi:type="dcterms:W3CDTF">2024-09-19T02:16:55Z</dcterms:modified>
</cp:coreProperties>
</file>

<file path=docProps/custom.xml><?xml version="1.0" encoding="utf-8"?>
<Properties xmlns="http://schemas.openxmlformats.org/officeDocument/2006/custom-properties" xmlns:vt="http://schemas.openxmlformats.org/officeDocument/2006/docPropsVTypes"/>
</file>