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territoire-de-belfort"/>
      <w:r>
        <w:t xml:space="preserve">Numérique «Territoire de Belfort»</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19 dans le</w:t>
      </w:r>
      <w:r>
        <w:t xml:space="preserve"> </w:t>
      </w:r>
      <w:r>
        <w:t xml:space="preserve">département, parmi eux, 11 ont d’ores et déjà été mis en</w:t>
      </w:r>
      <w:r>
        <w:t xml:space="preserve"> </w:t>
      </w:r>
      <w:r>
        <w:t xml:space="preserve">service (sur un total de 304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11244"/>
            <wp:effectExtent b="0" l="0" r="0" t="0"/>
            <wp:docPr descr="" title="" id="1" name="Picture"/>
            <a:graphic>
              <a:graphicData uri="http://schemas.openxmlformats.org/drawingml/2006/picture">
                <pic:pic>
                  <pic:nvPicPr>
                    <pic:cNvPr descr="/srv/insitu/outbox/infographies/haut_débit/90.png" id="0" name="Picture"/>
                    <pic:cNvPicPr>
                      <a:picLocks noChangeArrowheads="1" noChangeAspect="1"/>
                    </pic:cNvPicPr>
                  </pic:nvPicPr>
                  <pic:blipFill>
                    <a:blip r:embed="rId23"/>
                    <a:stretch>
                      <a:fillRect/>
                    </a:stretch>
                  </pic:blipFill>
                  <pic:spPr bwMode="auto">
                    <a:xfrm>
                      <a:off x="0" y="0"/>
                      <a:ext cx="4572000" cy="231124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72 communes ;</w:t>
      </w:r>
    </w:p>
    <w:p>
      <w:pPr>
        <w:pStyle w:val="Compact"/>
        <w:numPr>
          <w:numId w:val="1001"/>
          <w:ilvl w:val="0"/>
        </w:numPr>
      </w:pPr>
      <w:r>
        <w:t xml:space="preserve">celle de Orange sur 29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25 236</w:t>
            </w:r>
            <w:r>
              <w:t xml:space="preserve"> </w:t>
            </w:r>
            <w:r>
              <w:rPr>
                <w:i/>
              </w:rPr>
              <w:t xml:space="preserve">31.0%</w:t>
            </w:r>
          </w:p>
        </w:tc>
        <w:tc>
          <w:p>
            <w:pPr>
              <w:pStyle w:val="Compact"/>
              <w:jc w:val="left"/>
            </w:pPr>
            <w:r>
              <w:t xml:space="preserve">21 921</w:t>
            </w:r>
            <w:r>
              <w:t xml:space="preserve"> </w:t>
            </w:r>
            <w:r>
              <w:rPr>
                <w:i/>
              </w:rPr>
              <w:t xml:space="preserve">87.0%</w:t>
            </w:r>
          </w:p>
        </w:tc>
      </w:tr>
      <w:tr>
        <w:tc>
          <w:p>
            <w:pPr>
              <w:pStyle w:val="Compact"/>
              <w:jc w:val="left"/>
            </w:pPr>
            <w:r>
              <w:t xml:space="preserve">Zone AMII</w:t>
            </w:r>
          </w:p>
        </w:tc>
        <w:tc>
          <w:p>
            <w:pPr>
              <w:pStyle w:val="Compact"/>
              <w:jc w:val="left"/>
            </w:pPr>
            <w:r>
              <w:t xml:space="preserve">55 383</w:t>
            </w:r>
            <w:r>
              <w:t xml:space="preserve"> </w:t>
            </w:r>
            <w:r>
              <w:rPr>
                <w:i/>
              </w:rPr>
              <w:t xml:space="preserve">69.0%</w:t>
            </w:r>
          </w:p>
        </w:tc>
        <w:tc>
          <w:p>
            <w:pPr>
              <w:pStyle w:val="Compact"/>
              <w:jc w:val="left"/>
            </w:pPr>
            <w:r>
              <w:t xml:space="preserve">49 660</w:t>
            </w:r>
            <w:r>
              <w:t xml:space="preserve"> </w:t>
            </w:r>
            <w:r>
              <w:rPr>
                <w:i/>
              </w:rPr>
              <w:t xml:space="preserve">90.0%</w:t>
            </w:r>
          </w:p>
        </w:tc>
      </w:tr>
      <w:tr>
        <w:tc>
          <w:p>
            <w:pPr>
              <w:pStyle w:val="Compact"/>
              <w:jc w:val="left"/>
            </w:pPr>
            <w:r>
              <w:rPr>
                <w:b/>
              </w:rPr>
              <w:t xml:space="preserve">Total</w:t>
            </w:r>
          </w:p>
        </w:tc>
        <w:tc>
          <w:p>
            <w:pPr>
              <w:pStyle w:val="Compact"/>
              <w:jc w:val="left"/>
            </w:pPr>
            <w:r>
              <w:t xml:space="preserve">80 619</w:t>
            </w:r>
            <w:r>
              <w:t xml:space="preserve"> </w:t>
            </w:r>
            <w:r>
              <w:rPr>
                <w:i/>
              </w:rPr>
              <w:t xml:space="preserve">100%</w:t>
            </w:r>
          </w:p>
        </w:tc>
        <w:tc>
          <w:p>
            <w:pPr>
              <w:pStyle w:val="Compact"/>
              <w:jc w:val="left"/>
            </w:pPr>
            <w:r>
              <w:t xml:space="preserve">71 581</w:t>
            </w:r>
            <w:r>
              <w:t xml:space="preserve"> </w:t>
            </w:r>
            <w:r>
              <w:rPr>
                <w:i/>
              </w:rPr>
              <w:t xml:space="preserve">89.0%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aucune dans le département.</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2"/>
          <w:ilvl w:val="0"/>
        </w:numPr>
      </w:pPr>
      <w:r>
        <w:t xml:space="preserve">CRUNCH FACTORY (Sevenans)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3"/>
          <w:ilvl w:val="0"/>
        </w:numPr>
      </w:pPr>
      <w:r>
        <w:t xml:space="preserve">18 CNFS validés dans 14 structures d’accueil</w:t>
      </w:r>
    </w:p>
    <w:p>
      <w:pPr>
        <w:pStyle w:val="Compact"/>
        <w:numPr>
          <w:numId w:val="1003"/>
          <w:ilvl w:val="0"/>
        </w:numPr>
      </w:pPr>
      <w:r>
        <w:t xml:space="preserve">18 CNFS recrutés</w:t>
      </w:r>
    </w:p>
    <w:p>
      <w:pPr>
        <w:pStyle w:val="Compact"/>
        <w:numPr>
          <w:numId w:val="1003"/>
          <w:ilvl w:val="0"/>
        </w:numPr>
      </w:pPr>
      <w:r>
        <w:t xml:space="preserve">0 CNFS en formation</w:t>
      </w:r>
    </w:p>
    <w:p>
      <w:pPr>
        <w:pStyle w:val="Compact"/>
        <w:numPr>
          <w:numId w:val="1003"/>
          <w:ilvl w:val="0"/>
        </w:numPr>
      </w:pPr>
      <w:r>
        <w:t xml:space="preserve">15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6 structures candidates</w:t>
      </w:r>
    </w:p>
    <w:p>
      <w:pPr>
        <w:pStyle w:val="Compact"/>
        <w:numPr>
          <w:numId w:val="1004"/>
          <w:ilvl w:val="0"/>
        </w:numPr>
      </w:pPr>
      <w:r>
        <w:t xml:space="preserve">16 aidants à habiliter au total</w:t>
      </w:r>
    </w:p>
    <w:p>
      <w:pPr>
        <w:pStyle w:val="Compact"/>
        <w:numPr>
          <w:numId w:val="1004"/>
          <w:ilvl w:val="0"/>
        </w:numPr>
      </w:pPr>
      <w:r>
        <w:t xml:space="preserve">6 structures ont finalisé leur habilitation (10 aidants formés au 16 septembre 2024)</w:t>
      </w:r>
    </w:p>
    <w:p>
      <w:pPr>
        <w:pStyle w:val="Titre2"/>
      </w:pPr>
      <w:bookmarkStart w:id="29" w:name="bases-adresses-locales"/>
      <w:r>
        <w:t xml:space="preserve">Bases adresses locales</w:t>
      </w:r>
      <w:bookmarkEnd w:id="29"/>
    </w:p>
    <w:p>
      <w:pPr>
        <w:pStyle w:val="FirstParagraph"/>
      </w:pPr>
      <w:r>
        <w:t xml:space="preserve">84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2024-09-19T02:16:53Z</dcterms:created>
  <dcterms:modified xsi:type="dcterms:W3CDTF">2024-09-19T02:16:53Z</dcterms:modified>
</cp:coreProperties>
</file>

<file path=docProps/custom.xml><?xml version="1.0" encoding="utf-8"?>
<Properties xmlns="http://schemas.openxmlformats.org/officeDocument/2006/custom-properties" xmlns:vt="http://schemas.openxmlformats.org/officeDocument/2006/docPropsVTypes"/>
</file>