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vosges"/>
      <w:r>
        <w:t xml:space="preserve">Numérique «Vosges»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57 dans le</w:t>
      </w:r>
      <w:r>
        <w:t xml:space="preserve"> </w:t>
      </w:r>
      <w:r>
        <w:t xml:space="preserve">département, parmi eux, 40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11 dans le</w:t>
      </w:r>
      <w:r>
        <w:t xml:space="preserve"> </w:t>
      </w:r>
      <w:r>
        <w:t xml:space="preserve">département, 11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88.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XP Fibre sur 7 communes ;</w:t>
      </w:r>
    </w:p>
    <w:p>
      <w:pPr>
        <w:pStyle w:val="Compact"/>
        <w:numPr>
          <w:numId w:val="1001"/>
          <w:ilvl w:val="0"/>
        </w:numPr>
      </w:pPr>
      <w:r>
        <w:t xml:space="preserve">celle de Orange sur 3 communes ;</w:t>
      </w:r>
    </w:p>
    <w:p>
      <w:pPr>
        <w:pStyle w:val="Compact"/>
        <w:numPr>
          <w:numId w:val="1001"/>
          <w:ilvl w:val="0"/>
        </w:numPr>
      </w:pPr>
      <w:r>
        <w:t xml:space="preserve">celle de CR Grand Est dans la zone d’initiative publique qui comprend 497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11 352</w:t>
            </w:r>
            <w:r>
              <w:t xml:space="preserve"> </w:t>
            </w:r>
            <w:r>
              <w:rPr>
                <w:i/>
              </w:rPr>
              <w:t xml:space="preserve">5.0%</w:t>
            </w:r>
          </w:p>
        </w:tc>
        <w:tc>
          <w:p>
            <w:pPr>
              <w:pStyle w:val="Compact"/>
              <w:jc w:val="left"/>
            </w:pPr>
            <w:r>
              <w:t xml:space="preserve">11 151</w:t>
            </w:r>
            <w:r>
              <w:t xml:space="preserve"> </w:t>
            </w:r>
            <w:r>
              <w:rPr>
                <w:i/>
              </w:rPr>
              <w:t xml:space="preserve">98.0%</w:t>
            </w:r>
          </w:p>
        </w:tc>
      </w:tr>
      <w:tr>
        <w:tc>
          <w:p>
            <w:pPr>
              <w:pStyle w:val="Compact"/>
              <w:jc w:val="left"/>
            </w:pPr>
            <w:r>
              <w:t xml:space="preserve">Zone AMII</w:t>
            </w:r>
          </w:p>
        </w:tc>
        <w:tc>
          <w:p>
            <w:pPr>
              <w:pStyle w:val="Compact"/>
              <w:jc w:val="left"/>
            </w:pPr>
            <w:r>
              <w:t xml:space="preserve">41 253</w:t>
            </w:r>
            <w:r>
              <w:t xml:space="preserve"> </w:t>
            </w:r>
            <w:r>
              <w:rPr>
                <w:i/>
              </w:rPr>
              <w:t xml:space="preserve">16.0%</w:t>
            </w:r>
          </w:p>
        </w:tc>
        <w:tc>
          <w:p>
            <w:pPr>
              <w:pStyle w:val="Compact"/>
              <w:jc w:val="left"/>
            </w:pPr>
            <w:r>
              <w:t xml:space="preserve">33 872</w:t>
            </w:r>
            <w:r>
              <w:t xml:space="preserve"> </w:t>
            </w:r>
            <w:r>
              <w:rPr>
                <w:i/>
              </w:rPr>
              <w:t xml:space="preserve">82.0%</w:t>
            </w:r>
          </w:p>
        </w:tc>
      </w:tr>
      <w:tr>
        <w:tc>
          <w:p>
            <w:pPr>
              <w:pStyle w:val="Compact"/>
              <w:jc w:val="left"/>
            </w:pPr>
            <w:r>
              <w:t xml:space="preserve">Zone RIP</w:t>
            </w:r>
          </w:p>
        </w:tc>
        <w:tc>
          <w:p>
            <w:pPr>
              <w:pStyle w:val="Compact"/>
              <w:jc w:val="left"/>
            </w:pPr>
            <w:r>
              <w:t xml:space="preserve">198 357</w:t>
            </w:r>
            <w:r>
              <w:t xml:space="preserve"> </w:t>
            </w:r>
            <w:r>
              <w:rPr>
                <w:i/>
              </w:rPr>
              <w:t xml:space="preserve">79.0%</w:t>
            </w:r>
          </w:p>
        </w:tc>
        <w:tc>
          <w:p>
            <w:pPr>
              <w:pStyle w:val="Compact"/>
              <w:jc w:val="left"/>
            </w:pPr>
            <w:r>
              <w:t xml:space="preserve">186 552</w:t>
            </w:r>
            <w:r>
              <w:t xml:space="preserve"> </w:t>
            </w:r>
            <w:r>
              <w:rPr>
                <w:i/>
              </w:rPr>
              <w:t xml:space="preserve">94.0%</w:t>
            </w:r>
          </w:p>
        </w:tc>
      </w:tr>
      <w:tr>
        <w:tc>
          <w:p>
            <w:pPr>
              <w:pStyle w:val="Compact"/>
              <w:jc w:val="left"/>
            </w:pPr>
            <w:r>
              <w:rPr>
                <w:b/>
              </w:rPr>
              <w:t xml:space="preserve">Total</w:t>
            </w:r>
          </w:p>
        </w:tc>
        <w:tc>
          <w:p>
            <w:pPr>
              <w:pStyle w:val="Compact"/>
              <w:jc w:val="left"/>
            </w:pPr>
            <w:r>
              <w:t xml:space="preserve">250 962</w:t>
            </w:r>
            <w:r>
              <w:t xml:space="preserve"> </w:t>
            </w:r>
            <w:r>
              <w:rPr>
                <w:i/>
              </w:rPr>
              <w:t xml:space="preserve">100%</w:t>
            </w:r>
          </w:p>
        </w:tc>
        <w:tc>
          <w:p>
            <w:pPr>
              <w:pStyle w:val="Compact"/>
              <w:jc w:val="left"/>
            </w:pPr>
            <w:r>
              <w:t xml:space="preserve">231 575</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1 dans le département :</w:t>
      </w:r>
    </w:p>
    <w:p>
      <w:pPr>
        <w:pStyle w:val="Compact"/>
        <w:numPr>
          <w:numId w:val="1002"/>
          <w:ilvl w:val="0"/>
        </w:numPr>
      </w:pPr>
      <w:r>
        <w:t xml:space="preserve">La Vigotte Lab à Girmont-Val-d’Ajol</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Extension HOLYWOOD (Neufchâteau)</w:t>
      </w:r>
    </w:p>
    <w:p>
      <w:pPr>
        <w:pStyle w:val="Compact"/>
        <w:numPr>
          <w:numId w:val="1003"/>
          <w:ilvl w:val="0"/>
        </w:numPr>
      </w:pPr>
      <w:r>
        <w:t xml:space="preserve">Manufacture Numérique de la Déodatie (Saint-Dié-des-Vosges)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4"/>
          <w:ilvl w:val="0"/>
        </w:numPr>
      </w:pPr>
      <w:r>
        <w:t xml:space="preserve">30 CNFS validés dans 19 structures d’accueil</w:t>
      </w:r>
    </w:p>
    <w:p>
      <w:pPr>
        <w:pStyle w:val="Compact"/>
        <w:numPr>
          <w:numId w:val="1004"/>
          <w:ilvl w:val="0"/>
        </w:numPr>
      </w:pPr>
      <w:r>
        <w:t xml:space="preserve">28 CNFS recrutés</w:t>
      </w:r>
    </w:p>
    <w:p>
      <w:pPr>
        <w:pStyle w:val="Compact"/>
        <w:numPr>
          <w:numId w:val="1004"/>
          <w:ilvl w:val="0"/>
        </w:numPr>
      </w:pPr>
      <w:r>
        <w:t xml:space="preserve">0 CNFS en formation</w:t>
      </w:r>
    </w:p>
    <w:p>
      <w:pPr>
        <w:pStyle w:val="Compact"/>
        <w:numPr>
          <w:numId w:val="1004"/>
          <w:ilvl w:val="0"/>
        </w:numPr>
      </w:pPr>
      <w:r>
        <w:t xml:space="preserve">19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34 structures candidates</w:t>
      </w:r>
    </w:p>
    <w:p>
      <w:pPr>
        <w:pStyle w:val="Compact"/>
        <w:numPr>
          <w:numId w:val="1005"/>
          <w:ilvl w:val="0"/>
        </w:numPr>
      </w:pPr>
      <w:r>
        <w:t xml:space="preserve">116 aidants à habiliter au total</w:t>
      </w:r>
    </w:p>
    <w:p>
      <w:pPr>
        <w:pStyle w:val="Compact"/>
        <w:numPr>
          <w:numId w:val="1005"/>
          <w:ilvl w:val="0"/>
        </w:numPr>
      </w:pPr>
      <w:r>
        <w:t xml:space="preserve">31 structures ont finalisé leur habilitation (101 aidants formés au 16 septembre 2024)</w:t>
      </w:r>
    </w:p>
    <w:p>
      <w:pPr>
        <w:pStyle w:val="Titre2"/>
      </w:pPr>
      <w:bookmarkStart w:id="29" w:name="bases-adresses-locales"/>
      <w:r>
        <w:t xml:space="preserve">Bases adresses locales</w:t>
      </w:r>
      <w:bookmarkEnd w:id="29"/>
    </w:p>
    <w:p>
      <w:pPr>
        <w:pStyle w:val="FirstParagraph"/>
      </w:pPr>
      <w:r>
        <w:t xml:space="preserve">169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2024-09-19T02:16:49Z</dcterms:created>
  <dcterms:modified xsi:type="dcterms:W3CDTF">2024-09-19T02:16:49Z</dcterms:modified>
</cp:coreProperties>
</file>

<file path=docProps/custom.xml><?xml version="1.0" encoding="utf-8"?>
<Properties xmlns="http://schemas.openxmlformats.org/officeDocument/2006/custom-properties" xmlns:vt="http://schemas.openxmlformats.org/officeDocument/2006/docPropsVTypes"/>
</file>