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vaucluse"/>
      <w:r>
        <w:t xml:space="preserve">Numérique «Vaucluse»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«Provence-Alpes-Côte d’Azur», 337 sites ont été identifiés dont 35 dans le</w:t>
      </w:r>
      <w:r>
        <w:t xml:space="preserve"> </w:t>
      </w:r>
      <w:r>
        <w:t xml:space="preserve">département, parmi eux, 12 ont d’ores et déjà été mis en</w:t>
      </w:r>
      <w:r>
        <w:t xml:space="preserve"> </w:t>
      </w:r>
      <w:r>
        <w:t xml:space="preserve">service (sur un total de 163 mis en service au niveau régional).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02767"/>
            <wp:effectExtent b="0" l="0" r="0" t="0"/>
            <wp:docPr descr="" title="" id="1" name="Picture"/>
            <a:graphic>
              <a:graphicData uri="http://schemas.openxmlformats.org/drawingml/2006/picture">
                <pic:pic>
                  <pic:nvPicPr>
                    <pic:cNvPr descr="/srv/insitu/outbox/infographies/haut_débit/84.png" id="0" name="Picture"/>
                    <pic:cNvPicPr>
                      <a:picLocks noChangeArrowheads="1" noChangeAspect="1"/>
                    </pic:cNvPicPr>
                  </pic:nvPicPr>
                  <pic:blipFill>
                    <a:blip r:embed="rId23"/>
                    <a:stretch>
                      <a:fillRect/>
                    </a:stretch>
                  </pic:blipFill>
                  <pic:spPr bwMode="auto">
                    <a:xfrm>
                      <a:off x="0" y="0"/>
                      <a:ext cx="4572000" cy="2302767"/>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Orange / XP Fibre et XP Fibre sur 46 communes ;</w:t>
      </w:r>
    </w:p>
    <w:p>
      <w:pPr>
        <w:pStyle w:val="Compact"/>
        <w:numPr>
          <w:numId w:val="1001"/>
          <w:ilvl w:val="0"/>
        </w:numPr>
      </w:pPr>
      <w:r>
        <w:t xml:space="preserve">celle de CD Vaucluse dans la zone d’initiative publique qui comprend 105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252 980</w:t>
            </w:r>
            <w:r>
              <w:t xml:space="preserve"> </w:t>
            </w:r>
            <w:r>
              <w:rPr>
                <w:i/>
              </w:rPr>
              <w:t xml:space="preserve">66.0%</w:t>
            </w:r>
          </w:p>
        </w:tc>
        <w:tc>
          <w:p>
            <w:pPr>
              <w:pStyle w:val="Compact"/>
              <w:jc w:val="left"/>
            </w:pPr>
            <w:r>
              <w:t xml:space="preserve">191 406</w:t>
            </w:r>
            <w:r>
              <w:t xml:space="preserve"> </w:t>
            </w:r>
            <w:r>
              <w:rPr>
                <w:i/>
              </w:rPr>
              <w:t xml:space="preserve">76.0%</w:t>
            </w:r>
          </w:p>
        </w:tc>
      </w:tr>
      <w:tr>
        <w:tc>
          <w:p>
            <w:pPr>
              <w:pStyle w:val="Compact"/>
              <w:jc w:val="left"/>
            </w:pPr>
            <w:r>
              <w:t xml:space="preserve">Zone RIP</w:t>
            </w:r>
          </w:p>
        </w:tc>
        <w:tc>
          <w:p>
            <w:pPr>
              <w:pStyle w:val="Compact"/>
              <w:jc w:val="left"/>
            </w:pPr>
            <w:r>
              <w:t xml:space="preserve">129 181</w:t>
            </w:r>
            <w:r>
              <w:t xml:space="preserve"> </w:t>
            </w:r>
            <w:r>
              <w:rPr>
                <w:i/>
              </w:rPr>
              <w:t xml:space="preserve">34.0%</w:t>
            </w:r>
          </w:p>
        </w:tc>
        <w:tc>
          <w:p>
            <w:pPr>
              <w:pStyle w:val="Compact"/>
              <w:jc w:val="left"/>
            </w:pPr>
            <w:r>
              <w:t xml:space="preserve">126 423</w:t>
            </w:r>
            <w:r>
              <w:t xml:space="preserve"> </w:t>
            </w:r>
            <w:r>
              <w:rPr>
                <w:i/>
              </w:rPr>
              <w:t xml:space="preserve">98.0%</w:t>
            </w:r>
          </w:p>
        </w:tc>
      </w:tr>
      <w:tr>
        <w:tc>
          <w:p>
            <w:pPr>
              <w:pStyle w:val="Compact"/>
              <w:jc w:val="left"/>
            </w:pPr>
            <w:r>
              <w:rPr>
                <w:b/>
              </w:rPr>
              <w:t xml:space="preserve">Total</w:t>
            </w:r>
          </w:p>
        </w:tc>
        <w:tc>
          <w:p>
            <w:pPr>
              <w:pStyle w:val="Compact"/>
              <w:jc w:val="left"/>
            </w:pPr>
            <w:r>
              <w:t xml:space="preserve">382 161</w:t>
            </w:r>
            <w:r>
              <w:t xml:space="preserve"> </w:t>
            </w:r>
            <w:r>
              <w:rPr>
                <w:i/>
              </w:rPr>
              <w:t xml:space="preserve">100%</w:t>
            </w:r>
          </w:p>
        </w:tc>
        <w:tc>
          <w:p>
            <w:pPr>
              <w:pStyle w:val="Compact"/>
              <w:jc w:val="left"/>
            </w:pPr>
            <w:r>
              <w:t xml:space="preserve">317 829</w:t>
            </w:r>
            <w:r>
              <w:t xml:space="preserve"> </w:t>
            </w:r>
            <w:r>
              <w:rPr>
                <w:i/>
              </w:rPr>
              <w:t xml:space="preserve">83.0%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24 en région «Provence-Alpes-Côte d’Azur» et 5 dans le département :</w:t>
      </w:r>
    </w:p>
    <w:p>
      <w:pPr>
        <w:pStyle w:val="Compact"/>
        <w:numPr>
          <w:numId w:val="1002"/>
          <w:ilvl w:val="0"/>
        </w:numPr>
      </w:pPr>
      <w:r>
        <w:t xml:space="preserve">AVENIR 84 à Avignon</w:t>
      </w:r>
    </w:p>
    <w:p>
      <w:pPr>
        <w:pStyle w:val="Compact"/>
        <w:numPr>
          <w:numId w:val="1002"/>
          <w:ilvl w:val="0"/>
        </w:numPr>
      </w:pPr>
      <w:r>
        <w:t xml:space="preserve">Association de Préfiguration de la Gare Numérique à Carpentras</w:t>
      </w:r>
    </w:p>
    <w:p>
      <w:pPr>
        <w:pStyle w:val="Compact"/>
        <w:numPr>
          <w:numId w:val="1002"/>
          <w:ilvl w:val="0"/>
        </w:numPr>
      </w:pPr>
      <w:r>
        <w:t xml:space="preserve">SCIC AKWABA KA THEATRE à Châteauneuf-de-Gadagne</w:t>
      </w:r>
    </w:p>
    <w:p>
      <w:pPr>
        <w:pStyle w:val="Compact"/>
        <w:numPr>
          <w:numId w:val="1002"/>
          <w:ilvl w:val="0"/>
        </w:numPr>
      </w:pPr>
      <w:r>
        <w:t xml:space="preserve">Deltalab Préfiguration / Espace Maison Milon à Grillon</w:t>
      </w:r>
    </w:p>
    <w:p>
      <w:pPr>
        <w:pStyle w:val="Compact"/>
        <w:numPr>
          <w:numId w:val="1002"/>
          <w:ilvl w:val="0"/>
        </w:numPr>
      </w:pPr>
      <w:r>
        <w:t xml:space="preserve">La Fruitière Numérique à Lourmarin</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2 dans le département:</w:t>
      </w:r>
    </w:p>
    <w:p>
      <w:pPr>
        <w:pStyle w:val="Compact"/>
        <w:numPr>
          <w:numId w:val="1003"/>
          <w:ilvl w:val="0"/>
        </w:numPr>
      </w:pPr>
      <w:r>
        <w:t xml:space="preserve">La Grange des Roues (Sorgues)</w:t>
      </w:r>
    </w:p>
    <w:p>
      <w:pPr>
        <w:pStyle w:val="Compact"/>
        <w:numPr>
          <w:numId w:val="1003"/>
          <w:ilvl w:val="0"/>
        </w:numPr>
      </w:pPr>
      <w:r>
        <w:t xml:space="preserve">La Manufacture Pernoise (Pernes-les-Fontaines)</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«Provence-Alpes-Côte d’Azur» est couverte par le(s) Hub(s) :</w:t>
      </w:r>
      <w:r>
        <w:t xml:space="preserve"> </w:t>
      </w:r>
      <w:r>
        <w:t xml:space="preserve">Hub du Sud.</w:t>
      </w:r>
    </w:p>
    <w:p>
      <w:pPr>
        <w:pStyle w:val="Titre2"/>
      </w:pPr>
      <w:bookmarkStart w:id="27" w:name="conseillers-numériques"/>
      <w:r>
        <w:t xml:space="preserve">Conseillers numériques</w:t>
      </w:r>
      <w:bookmarkEnd w:id="27"/>
    </w:p>
    <w:p>
      <w:pPr>
        <w:pStyle w:val="Compact"/>
        <w:numPr>
          <w:numId w:val="1004"/>
          <w:ilvl w:val="0"/>
        </w:numPr>
      </w:pPr>
      <w:r>
        <w:t xml:space="preserve">50 CNFS validés dans 34 structures d’accueil</w:t>
      </w:r>
    </w:p>
    <w:p>
      <w:pPr>
        <w:pStyle w:val="Compact"/>
        <w:numPr>
          <w:numId w:val="1004"/>
          <w:ilvl w:val="0"/>
        </w:numPr>
      </w:pPr>
      <w:r>
        <w:t xml:space="preserve">42 CNFS recrutés</w:t>
      </w:r>
    </w:p>
    <w:p>
      <w:pPr>
        <w:pStyle w:val="Compact"/>
        <w:numPr>
          <w:numId w:val="1004"/>
          <w:ilvl w:val="0"/>
        </w:numPr>
      </w:pPr>
      <w:r>
        <w:t xml:space="preserve">0 CNFS en formation</w:t>
      </w:r>
    </w:p>
    <w:p>
      <w:pPr>
        <w:pStyle w:val="Compact"/>
        <w:numPr>
          <w:numId w:val="1004"/>
          <w:ilvl w:val="0"/>
        </w:numPr>
      </w:pPr>
      <w:r>
        <w:t xml:space="preserve">30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52 structures candidates</w:t>
      </w:r>
    </w:p>
    <w:p>
      <w:pPr>
        <w:pStyle w:val="Compact"/>
        <w:numPr>
          <w:numId w:val="1005"/>
          <w:ilvl w:val="0"/>
        </w:numPr>
      </w:pPr>
      <w:r>
        <w:t xml:space="preserve">134 aidants à habiliter au total</w:t>
      </w:r>
    </w:p>
    <w:p>
      <w:pPr>
        <w:pStyle w:val="Compact"/>
        <w:numPr>
          <w:numId w:val="1005"/>
          <w:ilvl w:val="0"/>
        </w:numPr>
      </w:pPr>
      <w:r>
        <w:t xml:space="preserve">51 structures ont finalisé leur habilitation (145 aidants formés au 16 septembre 2024)</w:t>
      </w:r>
    </w:p>
    <w:p>
      <w:pPr>
        <w:pStyle w:val="Titre2"/>
      </w:pPr>
      <w:bookmarkStart w:id="29" w:name="bases-adresses-locales"/>
      <w:r>
        <w:t xml:space="preserve">Bases adresses locales</w:t>
      </w:r>
      <w:bookmarkEnd w:id="29"/>
    </w:p>
    <w:p>
      <w:pPr>
        <w:pStyle w:val="FirstParagraph"/>
      </w:pPr>
      <w:r>
        <w:t xml:space="preserve">121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2024-09-19T02:16:41Z</dcterms:created>
  <dcterms:modified xsi:type="dcterms:W3CDTF">2024-09-19T02:16:41Z</dcterms:modified>
</cp:coreProperties>
</file>

<file path=docProps/custom.xml><?xml version="1.0" encoding="utf-8"?>
<Properties xmlns="http://schemas.openxmlformats.org/officeDocument/2006/custom-properties" xmlns:vt="http://schemas.openxmlformats.org/officeDocument/2006/docPropsVTypes"/>
</file>