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tarn-et-garonne"/>
      <w:r>
        <w:t xml:space="preserve">Numérique «Tarn-et-Garonne»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«Occitanie», 883 sites ont été identifiés dont 28 dans le</w:t>
      </w:r>
      <w:r>
        <w:t xml:space="preserve"> </w:t>
      </w:r>
      <w:r>
        <w:t xml:space="preserve">département, parmi eux, 17 ont d’ores et déjà été mis en</w:t>
      </w:r>
      <w:r>
        <w:t xml:space="preserve"> </w:t>
      </w:r>
      <w:r>
        <w:t xml:space="preserve">service (sur un total de 523 mis en service au niveau régional).</w:t>
      </w:r>
    </w:p>
    <w:p>
      <w:pPr>
        <w:pStyle w:val="Corpsdetexte"/>
      </w:pPr>
      <w:r>
        <w:t xml:space="preserve">Dans le cadre du dispositif 4G fixe, dans la région</w:t>
      </w:r>
      <w:r>
        <w:t xml:space="preserve"> </w:t>
      </w:r>
      <w:r>
        <w:t xml:space="preserve">«Occitanie», 57 sites ont été identifiés dont 4 dans le</w:t>
      </w:r>
      <w:r>
        <w:t xml:space="preserve"> </w:t>
      </w:r>
      <w:r>
        <w:t xml:space="preserve">département, 4 ont déjà été mis en service</w:t>
      </w:r>
      <w:r>
        <w:t xml:space="preserve"> </w:t>
      </w:r>
      <w:r>
        <w:t xml:space="preserve">sur 39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82.png" id="0" name="Picture"/>
                    <pic:cNvPicPr>
                      <a:picLocks noChangeArrowheads="1" noChangeAspect="1"/>
                    </pic:cNvPicPr>
                  </pic:nvPicPr>
                  <pic:blipFill>
                    <a:blip r:embed="rId23"/>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8 communes ;</w:t>
      </w:r>
    </w:p>
    <w:p>
      <w:pPr>
        <w:pStyle w:val="Compact"/>
        <w:numPr>
          <w:numId w:val="1001"/>
          <w:ilvl w:val="0"/>
        </w:numPr>
      </w:pPr>
      <w:r>
        <w:t xml:space="preserve">celle de CC Grand Sud Tarn et Garonne et Tarn-et-Garonne Numérique dans la zone d’initiative publique qui comprend 187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48 452</w:t>
            </w:r>
            <w:r>
              <w:t xml:space="preserve"> </w:t>
            </w:r>
            <w:r>
              <w:rPr>
                <w:i/>
              </w:rPr>
              <w:t xml:space="preserve">29.0%</w:t>
            </w:r>
          </w:p>
        </w:tc>
        <w:tc>
          <w:p>
            <w:pPr>
              <w:pStyle w:val="Compact"/>
              <w:jc w:val="left"/>
            </w:pPr>
            <w:r>
              <w:t xml:space="preserve">45 469</w:t>
            </w:r>
            <w:r>
              <w:t xml:space="preserve"> </w:t>
            </w:r>
            <w:r>
              <w:rPr>
                <w:i/>
              </w:rPr>
              <w:t xml:space="preserve">94.0%</w:t>
            </w:r>
          </w:p>
        </w:tc>
      </w:tr>
      <w:tr>
        <w:tc>
          <w:p>
            <w:pPr>
              <w:pStyle w:val="Compact"/>
              <w:jc w:val="left"/>
            </w:pPr>
            <w:r>
              <w:t xml:space="preserve">Zone RIP</w:t>
            </w:r>
          </w:p>
        </w:tc>
        <w:tc>
          <w:p>
            <w:pPr>
              <w:pStyle w:val="Compact"/>
              <w:jc w:val="left"/>
            </w:pPr>
            <w:r>
              <w:t xml:space="preserve">116 501</w:t>
            </w:r>
            <w:r>
              <w:t xml:space="preserve"> </w:t>
            </w:r>
            <w:r>
              <w:rPr>
                <w:i/>
              </w:rPr>
              <w:t xml:space="preserve">71.0%</w:t>
            </w:r>
          </w:p>
        </w:tc>
        <w:tc>
          <w:p>
            <w:pPr>
              <w:pStyle w:val="Compact"/>
              <w:jc w:val="left"/>
            </w:pPr>
            <w:r>
              <w:t xml:space="preserve">113 123</w:t>
            </w:r>
            <w:r>
              <w:t xml:space="preserve"> </w:t>
            </w:r>
            <w:r>
              <w:rPr>
                <w:i/>
              </w:rPr>
              <w:t xml:space="preserve">97.0%</w:t>
            </w:r>
          </w:p>
        </w:tc>
      </w:tr>
      <w:tr>
        <w:tc>
          <w:p>
            <w:pPr>
              <w:pStyle w:val="Compact"/>
              <w:jc w:val="left"/>
            </w:pPr>
            <w:r>
              <w:rPr>
                <w:b/>
              </w:rPr>
              <w:t xml:space="preserve">Total</w:t>
            </w:r>
          </w:p>
        </w:tc>
        <w:tc>
          <w:p>
            <w:pPr>
              <w:pStyle w:val="Compact"/>
              <w:jc w:val="left"/>
            </w:pPr>
            <w:r>
              <w:t xml:space="preserve">164 953</w:t>
            </w:r>
            <w:r>
              <w:t xml:space="preserve"> </w:t>
            </w:r>
            <w:r>
              <w:rPr>
                <w:i/>
              </w:rPr>
              <w:t xml:space="preserve">100%</w:t>
            </w:r>
          </w:p>
        </w:tc>
        <w:tc>
          <w:p>
            <w:pPr>
              <w:pStyle w:val="Compact"/>
              <w:jc w:val="left"/>
            </w:pPr>
            <w:r>
              <w:t xml:space="preserve">158 592</w:t>
            </w:r>
            <w:r>
              <w:t xml:space="preserve"> </w:t>
            </w:r>
            <w:r>
              <w:rPr>
                <w:i/>
              </w:rPr>
              <w:t xml:space="preserve">96.0%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33 en région «Occitanie» et 1 dans le département :</w:t>
      </w:r>
    </w:p>
    <w:p>
      <w:pPr>
        <w:pStyle w:val="Compact"/>
        <w:numPr>
          <w:numId w:val="1002"/>
          <w:ilvl w:val="0"/>
        </w:numPr>
      </w:pPr>
      <w:r>
        <w:t xml:space="preserve">Communauté de communes QRGA à Saint-Antonin-Noble-Val</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DESIGN NUMERIQUE &amp; ARTISANAT (DNA) (Caylus)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«Occitanie» est couverte par le(s) Hub(s) :</w:t>
      </w:r>
      <w:r>
        <w:t xml:space="preserve"> </w:t>
      </w:r>
      <w:r>
        <w:t xml:space="preserve">RhinOcc.</w:t>
      </w:r>
    </w:p>
    <w:p>
      <w:pPr>
        <w:pStyle w:val="Titre2"/>
      </w:pPr>
      <w:bookmarkStart w:id="27" w:name="conseillers-numériques"/>
      <w:r>
        <w:t xml:space="preserve">Conseillers numériques</w:t>
      </w:r>
      <w:bookmarkEnd w:id="27"/>
    </w:p>
    <w:p>
      <w:pPr>
        <w:pStyle w:val="Compact"/>
        <w:numPr>
          <w:numId w:val="1004"/>
          <w:ilvl w:val="0"/>
        </w:numPr>
      </w:pPr>
      <w:r>
        <w:t xml:space="preserve">23 CNFS validés dans 21 structures d’accueil</w:t>
      </w:r>
    </w:p>
    <w:p>
      <w:pPr>
        <w:pStyle w:val="Compact"/>
        <w:numPr>
          <w:numId w:val="1004"/>
          <w:ilvl w:val="0"/>
        </w:numPr>
      </w:pPr>
      <w:r>
        <w:t xml:space="preserve">22 CNFS recrutés</w:t>
      </w:r>
    </w:p>
    <w:p>
      <w:pPr>
        <w:pStyle w:val="Compact"/>
        <w:numPr>
          <w:numId w:val="1004"/>
          <w:ilvl w:val="0"/>
        </w:numPr>
      </w:pPr>
      <w:r>
        <w:t xml:space="preserve">1 CNFS en formation</w:t>
      </w:r>
    </w:p>
    <w:p>
      <w:pPr>
        <w:pStyle w:val="Compact"/>
        <w:numPr>
          <w:numId w:val="1004"/>
          <w:ilvl w:val="0"/>
        </w:numPr>
      </w:pPr>
      <w:r>
        <w:t xml:space="preserve">18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23 structures candidates</w:t>
      </w:r>
    </w:p>
    <w:p>
      <w:pPr>
        <w:pStyle w:val="Compact"/>
        <w:numPr>
          <w:numId w:val="1005"/>
          <w:ilvl w:val="0"/>
        </w:numPr>
      </w:pPr>
      <w:r>
        <w:t xml:space="preserve">81 aidants à habiliter au total</w:t>
      </w:r>
    </w:p>
    <w:p>
      <w:pPr>
        <w:pStyle w:val="Compact"/>
        <w:numPr>
          <w:numId w:val="1005"/>
          <w:ilvl w:val="0"/>
        </w:numPr>
      </w:pPr>
      <w:r>
        <w:t xml:space="preserve">23 structures ont finalisé leur habilitation (76 aidants formés au 16 septembre 2024)</w:t>
      </w:r>
    </w:p>
    <w:p>
      <w:pPr>
        <w:pStyle w:val="Titre2"/>
      </w:pPr>
      <w:bookmarkStart w:id="29" w:name="bases-adresses-locales"/>
      <w:r>
        <w:t xml:space="preserve">Bases adresses locales</w:t>
      </w:r>
      <w:bookmarkEnd w:id="29"/>
    </w:p>
    <w:p>
      <w:pPr>
        <w:pStyle w:val="FirstParagraph"/>
      </w:pPr>
      <w:r>
        <w:t xml:space="preserve">168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2024-09-19T02:16:37Z</dcterms:created>
  <dcterms:modified xsi:type="dcterms:W3CDTF">2024-09-19T02:16:37Z</dcterms:modified>
</cp:coreProperties>
</file>

<file path=docProps/custom.xml><?xml version="1.0" encoding="utf-8"?>
<Properties xmlns="http://schemas.openxmlformats.org/officeDocument/2006/custom-properties" xmlns:vt="http://schemas.openxmlformats.org/officeDocument/2006/docPropsVTypes"/>
</file>