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tarn"/>
      <w:r>
        <w:t xml:space="preserve">Numérique «Tarn»</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95 dans le</w:t>
      </w:r>
      <w:r>
        <w:t xml:space="preserve"> </w:t>
      </w:r>
      <w:r>
        <w:t xml:space="preserve">département, parmi eux, 60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2 dans le</w:t>
      </w:r>
      <w:r>
        <w:t xml:space="preserve"> </w:t>
      </w:r>
      <w:r>
        <w:t xml:space="preserve">département, 2 ont déjà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05586"/>
            <wp:effectExtent b="0" l="0" r="0" t="0"/>
            <wp:docPr descr="" title="" id="1" name="Picture"/>
            <a:graphic>
              <a:graphicData uri="http://schemas.openxmlformats.org/drawingml/2006/picture">
                <pic:pic>
                  <pic:nvPicPr>
                    <pic:cNvPr descr="/srv/insitu/outbox/infographies/haut_débit/81.png" id="0" name="Picture"/>
                    <pic:cNvPicPr>
                      <a:picLocks noChangeArrowheads="1" noChangeAspect="1"/>
                    </pic:cNvPicPr>
                  </pic:nvPicPr>
                  <pic:blipFill>
                    <a:blip r:embed="rId23"/>
                    <a:stretch>
                      <a:fillRect/>
                    </a:stretch>
                  </pic:blipFill>
                  <pic:spPr bwMode="auto">
                    <a:xfrm>
                      <a:off x="0" y="0"/>
                      <a:ext cx="4572000" cy="230558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32 communes ;</w:t>
      </w:r>
    </w:p>
    <w:p>
      <w:pPr>
        <w:pStyle w:val="Compact"/>
        <w:numPr>
          <w:numId w:val="1001"/>
          <w:ilvl w:val="0"/>
        </w:numPr>
      </w:pPr>
      <w:r>
        <w:t xml:space="preserve">celle de CD Tarn dans la zone d’initiative publique qui comprend 282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110 950</w:t>
            </w:r>
            <w:r>
              <w:t xml:space="preserve"> </w:t>
            </w:r>
            <w:r>
              <w:rPr>
                <w:i/>
              </w:rPr>
              <w:t xml:space="preserve">43.0%</w:t>
            </w:r>
          </w:p>
        </w:tc>
        <w:tc>
          <w:p>
            <w:pPr>
              <w:pStyle w:val="Compact"/>
              <w:jc w:val="left"/>
            </w:pPr>
            <w:r>
              <w:t xml:space="preserve">102 688</w:t>
            </w:r>
            <w:r>
              <w:t xml:space="preserve"> </w:t>
            </w:r>
            <w:r>
              <w:rPr>
                <w:i/>
              </w:rPr>
              <w:t xml:space="preserve">93.0%</w:t>
            </w:r>
          </w:p>
        </w:tc>
      </w:tr>
      <w:tr>
        <w:tc>
          <w:p>
            <w:pPr>
              <w:pStyle w:val="Compact"/>
              <w:jc w:val="left"/>
            </w:pPr>
            <w:r>
              <w:t xml:space="preserve">Zone RIP</w:t>
            </w:r>
          </w:p>
        </w:tc>
        <w:tc>
          <w:p>
            <w:pPr>
              <w:pStyle w:val="Compact"/>
              <w:jc w:val="left"/>
            </w:pPr>
            <w:r>
              <w:t xml:space="preserve">149 801</w:t>
            </w:r>
            <w:r>
              <w:t xml:space="preserve"> </w:t>
            </w:r>
            <w:r>
              <w:rPr>
                <w:i/>
              </w:rPr>
              <w:t xml:space="preserve">57.0%</w:t>
            </w:r>
          </w:p>
        </w:tc>
        <w:tc>
          <w:p>
            <w:pPr>
              <w:pStyle w:val="Compact"/>
              <w:jc w:val="left"/>
            </w:pPr>
            <w:r>
              <w:t xml:space="preserve">138 356</w:t>
            </w:r>
            <w:r>
              <w:t xml:space="preserve"> </w:t>
            </w:r>
            <w:r>
              <w:rPr>
                <w:i/>
              </w:rPr>
              <w:t xml:space="preserve">92.0%</w:t>
            </w:r>
          </w:p>
        </w:tc>
      </w:tr>
      <w:tr>
        <w:tc>
          <w:p>
            <w:pPr>
              <w:pStyle w:val="Compact"/>
              <w:jc w:val="left"/>
            </w:pPr>
            <w:r>
              <w:rPr>
                <w:b/>
              </w:rPr>
              <w:t xml:space="preserve">Total</w:t>
            </w:r>
          </w:p>
        </w:tc>
        <w:tc>
          <w:p>
            <w:pPr>
              <w:pStyle w:val="Compact"/>
              <w:jc w:val="left"/>
            </w:pPr>
            <w:r>
              <w:t xml:space="preserve">260 751</w:t>
            </w:r>
            <w:r>
              <w:t xml:space="preserve"> </w:t>
            </w:r>
            <w:r>
              <w:rPr>
                <w:i/>
              </w:rPr>
              <w:t xml:space="preserve">100%</w:t>
            </w:r>
          </w:p>
        </w:tc>
        <w:tc>
          <w:p>
            <w:pPr>
              <w:pStyle w:val="Compact"/>
              <w:jc w:val="left"/>
            </w:pPr>
            <w:r>
              <w:t xml:space="preserve">241 044</w:t>
            </w:r>
            <w:r>
              <w:t xml:space="preserve"> </w:t>
            </w:r>
            <w:r>
              <w:rPr>
                <w:i/>
              </w:rPr>
              <w:t xml:space="preserve">92.0%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33 en région «Occitanie» et 2 dans le département :</w:t>
      </w:r>
    </w:p>
    <w:p>
      <w:pPr>
        <w:pStyle w:val="Compact"/>
        <w:numPr>
          <w:numId w:val="1002"/>
          <w:ilvl w:val="0"/>
        </w:numPr>
      </w:pPr>
      <w:r>
        <w:t xml:space="preserve">PETR des Hautes Terres d’Oc à Brassac</w:t>
      </w:r>
    </w:p>
    <w:p>
      <w:pPr>
        <w:pStyle w:val="Compact"/>
        <w:numPr>
          <w:numId w:val="1002"/>
          <w:ilvl w:val="0"/>
        </w:numPr>
      </w:pPr>
      <w:r>
        <w:t xml:space="preserve">Dénomination de la structure : Association Léo Lagrange de Graulhet</w:t>
      </w:r>
    </w:p>
    <w:p>
      <w:pPr>
        <w:pStyle w:val="FirstParagraph"/>
      </w:pPr>
      <w:r>
        <w:t xml:space="preserve">à Graulhet</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7" w:name="conseillers-numériques"/>
      <w:r>
        <w:t xml:space="preserve">Conseillers numériques</w:t>
      </w:r>
      <w:bookmarkEnd w:id="27"/>
    </w:p>
    <w:p>
      <w:pPr>
        <w:pStyle w:val="Compact"/>
        <w:numPr>
          <w:numId w:val="1003"/>
          <w:ilvl w:val="0"/>
        </w:numPr>
      </w:pPr>
      <w:r>
        <w:t xml:space="preserve">30 CNFS validés dans 19 structures d’accueil</w:t>
      </w:r>
    </w:p>
    <w:p>
      <w:pPr>
        <w:pStyle w:val="Compact"/>
        <w:numPr>
          <w:numId w:val="1003"/>
          <w:ilvl w:val="0"/>
        </w:numPr>
      </w:pPr>
      <w:r>
        <w:t xml:space="preserve">28 CNFS recrutés</w:t>
      </w:r>
    </w:p>
    <w:p>
      <w:pPr>
        <w:pStyle w:val="Compact"/>
        <w:numPr>
          <w:numId w:val="1003"/>
          <w:ilvl w:val="0"/>
        </w:numPr>
      </w:pPr>
      <w:r>
        <w:t xml:space="preserve">0 CNFS en formation</w:t>
      </w:r>
    </w:p>
    <w:p>
      <w:pPr>
        <w:pStyle w:val="Compact"/>
        <w:numPr>
          <w:numId w:val="1003"/>
          <w:ilvl w:val="0"/>
        </w:numPr>
      </w:pPr>
      <w:r>
        <w:t xml:space="preserve">22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39 structures candidates</w:t>
      </w:r>
    </w:p>
    <w:p>
      <w:pPr>
        <w:pStyle w:val="Compact"/>
        <w:numPr>
          <w:numId w:val="1004"/>
          <w:ilvl w:val="0"/>
        </w:numPr>
      </w:pPr>
      <w:r>
        <w:t xml:space="preserve">109 aidants à habiliter au total</w:t>
      </w:r>
    </w:p>
    <w:p>
      <w:pPr>
        <w:pStyle w:val="Compact"/>
        <w:numPr>
          <w:numId w:val="1004"/>
          <w:ilvl w:val="0"/>
        </w:numPr>
      </w:pPr>
      <w:r>
        <w:t xml:space="preserve">39 structures ont finalisé leur habilitation (114 aidants formés au 16 septembre 2024)</w:t>
      </w:r>
    </w:p>
    <w:p>
      <w:pPr>
        <w:pStyle w:val="Titre2"/>
      </w:pPr>
      <w:bookmarkStart w:id="29" w:name="bases-adresses-locales"/>
      <w:r>
        <w:t xml:space="preserve">Bases adresses locales</w:t>
      </w:r>
      <w:bookmarkEnd w:id="29"/>
    </w:p>
    <w:p>
      <w:pPr>
        <w:pStyle w:val="FirstParagraph"/>
      </w:pPr>
      <w:r>
        <w:t xml:space="preserve">294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2024-09-19T02:16:35Z</dcterms:created>
  <dcterms:modified xsi:type="dcterms:W3CDTF">2024-09-19T02:16:35Z</dcterms:modified>
</cp:coreProperties>
</file>

<file path=docProps/custom.xml><?xml version="1.0" encoding="utf-8"?>
<Properties xmlns="http://schemas.openxmlformats.org/officeDocument/2006/custom-properties" xmlns:vt="http://schemas.openxmlformats.org/officeDocument/2006/docPropsVTypes"/>
</file>