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seine-et-marne"/>
      <w:r>
        <w:t xml:space="preserve">Numérique «Seine-et-Marne»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«Île-de-France», 124 sites ont été identifiés dont 45 dans le</w:t>
      </w:r>
      <w:r>
        <w:t xml:space="preserve"> </w:t>
      </w:r>
      <w:r>
        <w:t xml:space="preserve">département, parmi eux, 28 ont d’ores et déjà été mis en</w:t>
      </w:r>
      <w:r>
        <w:t xml:space="preserve"> </w:t>
      </w:r>
      <w:r>
        <w:t xml:space="preserve">service (sur un total de 53 mis en service au niveau régional).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77.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et XP Fibre sur 80 communes ;</w:t>
      </w:r>
    </w:p>
    <w:p>
      <w:pPr>
        <w:pStyle w:val="Compact"/>
        <w:numPr>
          <w:numId w:val="1001"/>
          <w:ilvl w:val="0"/>
        </w:numPr>
      </w:pPr>
      <w:r>
        <w:t xml:space="preserve">celle de Seine-et-Marne Numérique dans la zone d’initiative publique qui comprend 426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14 972</w:t>
            </w:r>
            <w:r>
              <w:t xml:space="preserve"> </w:t>
            </w:r>
            <w:r>
              <w:rPr>
                <w:i/>
              </w:rPr>
              <w:t xml:space="preserve">2.0%</w:t>
            </w:r>
          </w:p>
        </w:tc>
        <w:tc>
          <w:p>
            <w:pPr>
              <w:pStyle w:val="Compact"/>
              <w:jc w:val="left"/>
            </w:pPr>
            <w:r>
              <w:t xml:space="preserve">13 936</w:t>
            </w:r>
            <w:r>
              <w:t xml:space="preserve"> </w:t>
            </w:r>
            <w:r>
              <w:rPr>
                <w:i/>
              </w:rPr>
              <w:t xml:space="preserve">93.0%</w:t>
            </w:r>
          </w:p>
        </w:tc>
      </w:tr>
      <w:tr>
        <w:tc>
          <w:p>
            <w:pPr>
              <w:pStyle w:val="Compact"/>
              <w:jc w:val="left"/>
            </w:pPr>
            <w:r>
              <w:t xml:space="preserve">Zone AMII</w:t>
            </w:r>
          </w:p>
        </w:tc>
        <w:tc>
          <w:p>
            <w:pPr>
              <w:pStyle w:val="Compact"/>
              <w:jc w:val="left"/>
            </w:pPr>
            <w:r>
              <w:t xml:space="preserve">423 935</w:t>
            </w:r>
            <w:r>
              <w:t xml:space="preserve"> </w:t>
            </w:r>
            <w:r>
              <w:rPr>
                <w:i/>
              </w:rPr>
              <w:t xml:space="preserve">55.0%</w:t>
            </w:r>
          </w:p>
        </w:tc>
        <w:tc>
          <w:p>
            <w:pPr>
              <w:pStyle w:val="Compact"/>
              <w:jc w:val="left"/>
            </w:pPr>
            <w:r>
              <w:t xml:space="preserve">399 471</w:t>
            </w:r>
            <w:r>
              <w:t xml:space="preserve"> </w:t>
            </w:r>
            <w:r>
              <w:rPr>
                <w:i/>
              </w:rPr>
              <w:t xml:space="preserve">94.0%</w:t>
            </w:r>
          </w:p>
        </w:tc>
      </w:tr>
      <w:tr>
        <w:tc>
          <w:p>
            <w:pPr>
              <w:pStyle w:val="Compact"/>
              <w:jc w:val="left"/>
            </w:pPr>
            <w:r>
              <w:t xml:space="preserve">Zone RIP</w:t>
            </w:r>
          </w:p>
        </w:tc>
        <w:tc>
          <w:p>
            <w:pPr>
              <w:pStyle w:val="Compact"/>
              <w:jc w:val="left"/>
            </w:pPr>
            <w:r>
              <w:t xml:space="preserve">335 131</w:t>
            </w:r>
            <w:r>
              <w:t xml:space="preserve"> </w:t>
            </w:r>
            <w:r>
              <w:rPr>
                <w:i/>
              </w:rPr>
              <w:t xml:space="preserve">43.0%</w:t>
            </w:r>
          </w:p>
        </w:tc>
        <w:tc>
          <w:p>
            <w:pPr>
              <w:pStyle w:val="Compact"/>
              <w:jc w:val="left"/>
            </w:pPr>
            <w:r>
              <w:t xml:space="preserve">293 768</w:t>
            </w:r>
            <w:r>
              <w:t xml:space="preserve"> </w:t>
            </w:r>
            <w:r>
              <w:rPr>
                <w:i/>
              </w:rPr>
              <w:t xml:space="preserve">88.0%</w:t>
            </w:r>
          </w:p>
        </w:tc>
      </w:tr>
      <w:tr>
        <w:tc>
          <w:p>
            <w:pPr>
              <w:pStyle w:val="Compact"/>
              <w:jc w:val="left"/>
            </w:pPr>
            <w:r>
              <w:rPr>
                <w:b/>
              </w:rPr>
              <w:t xml:space="preserve">Total</w:t>
            </w:r>
          </w:p>
        </w:tc>
        <w:tc>
          <w:p>
            <w:pPr>
              <w:pStyle w:val="Compact"/>
              <w:jc w:val="left"/>
            </w:pPr>
            <w:r>
              <w:t xml:space="preserve">774 038</w:t>
            </w:r>
            <w:r>
              <w:t xml:space="preserve"> </w:t>
            </w:r>
            <w:r>
              <w:rPr>
                <w:i/>
              </w:rPr>
              <w:t xml:space="preserve">100%</w:t>
            </w:r>
          </w:p>
        </w:tc>
        <w:tc>
          <w:p>
            <w:pPr>
              <w:pStyle w:val="Compact"/>
              <w:jc w:val="left"/>
            </w:pPr>
            <w:r>
              <w:t xml:space="preserve">707 175</w:t>
            </w:r>
            <w:r>
              <w:t xml:space="preserve"> </w:t>
            </w:r>
            <w:r>
              <w:rPr>
                <w:i/>
              </w:rPr>
              <w:t xml:space="preserve">91.0%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36 en région «Île-de-France» et 2 dans le département :</w:t>
      </w:r>
    </w:p>
    <w:p>
      <w:pPr>
        <w:pStyle w:val="Compact"/>
        <w:numPr>
          <w:numId w:val="1002"/>
          <w:ilvl w:val="0"/>
        </w:numPr>
      </w:pPr>
      <w:r>
        <w:t xml:space="preserve">BRIE’NOV à Doue</w:t>
      </w:r>
    </w:p>
    <w:p>
      <w:pPr>
        <w:pStyle w:val="Compact"/>
        <w:numPr>
          <w:numId w:val="1002"/>
          <w:ilvl w:val="0"/>
        </w:numPr>
      </w:pPr>
      <w:r>
        <w:t xml:space="preserve">Fédération Départementale des Foyers Ruraux de Seine-et-Marne à Livry-sur-Seine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«Île-de-France» est couverte par le(s) Hub(s) :</w:t>
      </w:r>
      <w:r>
        <w:t xml:space="preserve"> </w:t>
      </w:r>
      <w:r>
        <w:t xml:space="preserve">Francil-in.</w:t>
      </w:r>
    </w:p>
    <w:p>
      <w:pPr>
        <w:pStyle w:val="Titre2"/>
      </w:pPr>
      <w:bookmarkStart w:id="27" w:name="conseillers-numériques"/>
      <w:r>
        <w:t xml:space="preserve">Conseillers numériques</w:t>
      </w:r>
      <w:bookmarkEnd w:id="27"/>
    </w:p>
    <w:p>
      <w:pPr>
        <w:pStyle w:val="Compact"/>
        <w:numPr>
          <w:numId w:val="1003"/>
          <w:ilvl w:val="0"/>
        </w:numPr>
      </w:pPr>
      <w:r>
        <w:t xml:space="preserve">44 CNFS validés dans 32 structures d’accueil</w:t>
      </w:r>
    </w:p>
    <w:p>
      <w:pPr>
        <w:pStyle w:val="Compact"/>
        <w:numPr>
          <w:numId w:val="1003"/>
          <w:ilvl w:val="0"/>
        </w:numPr>
      </w:pPr>
      <w:r>
        <w:t xml:space="preserve">32 CNFS recrutés</w:t>
      </w:r>
    </w:p>
    <w:p>
      <w:pPr>
        <w:pStyle w:val="Compact"/>
        <w:numPr>
          <w:numId w:val="1003"/>
          <w:ilvl w:val="0"/>
        </w:numPr>
      </w:pPr>
      <w:r>
        <w:t xml:space="preserve">0 CNFS en formation</w:t>
      </w:r>
    </w:p>
    <w:p>
      <w:pPr>
        <w:pStyle w:val="Compact"/>
        <w:numPr>
          <w:numId w:val="1003"/>
          <w:ilvl w:val="0"/>
        </w:numPr>
      </w:pPr>
      <w:r>
        <w:t xml:space="preserve">24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72 structures candidates</w:t>
      </w:r>
    </w:p>
    <w:p>
      <w:pPr>
        <w:pStyle w:val="Compact"/>
        <w:numPr>
          <w:numId w:val="1004"/>
          <w:ilvl w:val="0"/>
        </w:numPr>
      </w:pPr>
      <w:r>
        <w:t xml:space="preserve">265 aidants à habiliter au total</w:t>
      </w:r>
    </w:p>
    <w:p>
      <w:pPr>
        <w:pStyle w:val="Compact"/>
        <w:numPr>
          <w:numId w:val="1004"/>
          <w:ilvl w:val="0"/>
        </w:numPr>
      </w:pPr>
      <w:r>
        <w:t xml:space="preserve">69 structures ont finalisé leur habilitation (244 aidants formés au 16 septembre 2024)</w:t>
      </w:r>
    </w:p>
    <w:p>
      <w:pPr>
        <w:pStyle w:val="Titre2"/>
      </w:pPr>
      <w:bookmarkStart w:id="29" w:name="bases-adresses-locales"/>
      <w:r>
        <w:t xml:space="preserve">Bases adresses locales</w:t>
      </w:r>
      <w:bookmarkEnd w:id="29"/>
    </w:p>
    <w:p>
      <w:pPr>
        <w:pStyle w:val="FirstParagraph"/>
      </w:pPr>
      <w:r>
        <w:t xml:space="preserve">301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2024-09-19T02:16:27Z</dcterms:created>
  <dcterms:modified xsi:type="dcterms:W3CDTF">2024-09-19T02:16:27Z</dcterms:modified>
</cp:coreProperties>
</file>

<file path=docProps/custom.xml><?xml version="1.0" encoding="utf-8"?>
<Properties xmlns="http://schemas.openxmlformats.org/officeDocument/2006/custom-properties" xmlns:vt="http://schemas.openxmlformats.org/officeDocument/2006/docPropsVTypes"/>
</file>