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eine-maritime"/>
      <w:r>
        <w:t xml:space="preserve">Numérique «Seine-Maritime»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«Normandie», 205 sites ont été identifiés dont 51 dans le</w:t>
      </w:r>
      <w:r>
        <w:t xml:space="preserve"> </w:t>
      </w:r>
      <w:r>
        <w:t xml:space="preserve">département, parmi eux, 38 ont d’ores et déjà été mis en</w:t>
      </w:r>
      <w:r>
        <w:t xml:space="preserve"> </w:t>
      </w:r>
      <w:r>
        <w:t xml:space="preserve">service (sur un total de 144 mis en service au niveau régional).</w:t>
      </w:r>
    </w:p>
    <w:p>
      <w:pPr>
        <w:pStyle w:val="Corpsdetexte"/>
      </w:pPr>
      <w:r>
        <w:t xml:space="preserve">Dans le cadre du dispositif 4G fixe, dans la région</w:t>
      </w:r>
      <w:r>
        <w:t xml:space="preserve"> </w:t>
      </w:r>
      <w:r>
        <w:t xml:space="preserve">«Normandie», 124 sites ont été identifiés dont 35 dans le</w:t>
      </w:r>
      <w:r>
        <w:t xml:space="preserve"> </w:t>
      </w:r>
      <w:r>
        <w:t xml:space="preserve">département, 21 ont déjà été mis en service</w:t>
      </w:r>
      <w:r>
        <w:t xml:space="preserve"> </w:t>
      </w:r>
      <w:r>
        <w:t xml:space="preserve">sur 95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8777"/>
            <wp:effectExtent b="0" l="0" r="0" t="0"/>
            <wp:docPr descr="" title="" id="1" name="Picture"/>
            <a:graphic>
              <a:graphicData uri="http://schemas.openxmlformats.org/drawingml/2006/picture">
                <pic:pic>
                  <pic:nvPicPr>
                    <pic:cNvPr descr="/srv/insitu/outbox/infographies/haut_débit/76.png" id="0" name="Picture"/>
                    <pic:cNvPicPr>
                      <a:picLocks noChangeArrowheads="1" noChangeAspect="1"/>
                    </pic:cNvPicPr>
                  </pic:nvPicPr>
                  <pic:blipFill>
                    <a:blip r:embed="rId23"/>
                    <a:stretch>
                      <a:fillRect/>
                    </a:stretch>
                  </pic:blipFill>
                  <pic:spPr bwMode="auto">
                    <a:xfrm>
                      <a:off x="0" y="0"/>
                      <a:ext cx="4572000" cy="228877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104 communes ;</w:t>
      </w:r>
    </w:p>
    <w:p>
      <w:pPr>
        <w:pStyle w:val="Compact"/>
        <w:numPr>
          <w:numId w:val="1001"/>
          <w:ilvl w:val="0"/>
        </w:numPr>
      </w:pPr>
      <w:r>
        <w:t xml:space="preserve">celle de Seine-Maritime Numérique dans la zone d’initiative publique qui comprend 603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92 619</w:t>
            </w:r>
            <w:r>
              <w:t xml:space="preserve"> </w:t>
            </w:r>
            <w:r>
              <w:rPr>
                <w:i/>
              </w:rPr>
              <w:t xml:space="preserve">12.0%</w:t>
            </w:r>
          </w:p>
        </w:tc>
        <w:tc>
          <w:p>
            <w:pPr>
              <w:pStyle w:val="Compact"/>
              <w:jc w:val="left"/>
            </w:pPr>
            <w:r>
              <w:t xml:space="preserve">80 527</w:t>
            </w:r>
            <w:r>
              <w:t xml:space="preserve"> </w:t>
            </w:r>
            <w:r>
              <w:rPr>
                <w:i/>
              </w:rPr>
              <w:t xml:space="preserve">87.0%</w:t>
            </w:r>
          </w:p>
        </w:tc>
      </w:tr>
      <w:tr>
        <w:tc>
          <w:p>
            <w:pPr>
              <w:pStyle w:val="Compact"/>
              <w:jc w:val="left"/>
            </w:pPr>
            <w:r>
              <w:t xml:space="preserve">Zone AMII</w:t>
            </w:r>
          </w:p>
        </w:tc>
        <w:tc>
          <w:p>
            <w:pPr>
              <w:pStyle w:val="Compact"/>
              <w:jc w:val="left"/>
            </w:pPr>
            <w:r>
              <w:t xml:space="preserve">414 110</w:t>
            </w:r>
            <w:r>
              <w:t xml:space="preserve"> </w:t>
            </w:r>
            <w:r>
              <w:rPr>
                <w:i/>
              </w:rPr>
              <w:t xml:space="preserve">55.0%</w:t>
            </w:r>
          </w:p>
        </w:tc>
        <w:tc>
          <w:p>
            <w:pPr>
              <w:pStyle w:val="Compact"/>
              <w:jc w:val="left"/>
            </w:pPr>
            <w:r>
              <w:t xml:space="preserve">374 721</w:t>
            </w:r>
            <w:r>
              <w:t xml:space="preserve"> </w:t>
            </w:r>
            <w:r>
              <w:rPr>
                <w:i/>
              </w:rPr>
              <w:t xml:space="preserve">90.0%</w:t>
            </w:r>
          </w:p>
        </w:tc>
      </w:tr>
      <w:tr>
        <w:tc>
          <w:p>
            <w:pPr>
              <w:pStyle w:val="Compact"/>
              <w:jc w:val="left"/>
            </w:pPr>
            <w:r>
              <w:t xml:space="preserve">Zone RIP</w:t>
            </w:r>
          </w:p>
        </w:tc>
        <w:tc>
          <w:p>
            <w:pPr>
              <w:pStyle w:val="Compact"/>
              <w:jc w:val="left"/>
            </w:pPr>
            <w:r>
              <w:t xml:space="preserve">248 946</w:t>
            </w:r>
            <w:r>
              <w:t xml:space="preserve"> </w:t>
            </w:r>
            <w:r>
              <w:rPr>
                <w:i/>
              </w:rPr>
              <w:t xml:space="preserve">33.0%</w:t>
            </w:r>
          </w:p>
        </w:tc>
        <w:tc>
          <w:p>
            <w:pPr>
              <w:pStyle w:val="Compact"/>
              <w:jc w:val="left"/>
            </w:pPr>
            <w:r>
              <w:t xml:space="preserve">238 568</w:t>
            </w:r>
            <w:r>
              <w:t xml:space="preserve"> </w:t>
            </w:r>
            <w:r>
              <w:rPr>
                <w:i/>
              </w:rPr>
              <w:t xml:space="preserve">96.0%</w:t>
            </w:r>
          </w:p>
        </w:tc>
      </w:tr>
      <w:tr>
        <w:tc>
          <w:p>
            <w:pPr>
              <w:pStyle w:val="Compact"/>
              <w:jc w:val="left"/>
            </w:pPr>
            <w:r>
              <w:rPr>
                <w:b/>
              </w:rPr>
              <w:t xml:space="preserve">Total</w:t>
            </w:r>
          </w:p>
        </w:tc>
        <w:tc>
          <w:p>
            <w:pPr>
              <w:pStyle w:val="Compact"/>
              <w:jc w:val="left"/>
            </w:pPr>
            <w:r>
              <w:t xml:space="preserve">755 675</w:t>
            </w:r>
            <w:r>
              <w:t xml:space="preserve"> </w:t>
            </w:r>
            <w:r>
              <w:rPr>
                <w:i/>
              </w:rPr>
              <w:t xml:space="preserve">100%</w:t>
            </w:r>
          </w:p>
        </w:tc>
        <w:tc>
          <w:p>
            <w:pPr>
              <w:pStyle w:val="Compact"/>
              <w:jc w:val="left"/>
            </w:pPr>
            <w:r>
              <w:t xml:space="preserve">693 816</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13 en région «Normandie» et 3 dans le département :</w:t>
      </w:r>
    </w:p>
    <w:p>
      <w:pPr>
        <w:pStyle w:val="Compact"/>
        <w:numPr>
          <w:numId w:val="1002"/>
          <w:ilvl w:val="0"/>
        </w:numPr>
      </w:pPr>
      <w:r>
        <w:t xml:space="preserve">L’Estrap W’ant à Le Havre</w:t>
      </w:r>
    </w:p>
    <w:p>
      <w:pPr>
        <w:pStyle w:val="Compact"/>
        <w:numPr>
          <w:numId w:val="1002"/>
          <w:ilvl w:val="0"/>
        </w:numPr>
      </w:pPr>
      <w:r>
        <w:t xml:space="preserve">Le Hangar Zéro à Le Havre</w:t>
      </w:r>
    </w:p>
    <w:p>
      <w:pPr>
        <w:pStyle w:val="Compact"/>
        <w:numPr>
          <w:numId w:val="1002"/>
          <w:ilvl w:val="0"/>
        </w:numPr>
      </w:pPr>
      <w:r>
        <w:t xml:space="preserve">LES COPEAUX NUMERIQUES SCOPARL à Le Petit-Quevilly</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Le Hangar Zéro (Le Havre)</w:t>
      </w:r>
    </w:p>
    <w:p>
      <w:pPr>
        <w:pStyle w:val="Compact"/>
        <w:numPr>
          <w:numId w:val="1003"/>
          <w:ilvl w:val="0"/>
        </w:numPr>
      </w:pPr>
      <w:r>
        <w:t xml:space="preserve">Manufacture de proximité (Le Petit-Quevilly)</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«Normandie» est couverte par le(s) Hub(s) :</w:t>
      </w:r>
      <w:r>
        <w:t xml:space="preserve"> </w:t>
      </w:r>
      <w:r>
        <w:t xml:space="preserve">Normandie.</w:t>
      </w:r>
    </w:p>
    <w:p>
      <w:pPr>
        <w:pStyle w:val="Titre2"/>
      </w:pPr>
      <w:bookmarkStart w:id="27" w:name="conseillers-numériques"/>
      <w:r>
        <w:t xml:space="preserve">Conseillers numériques</w:t>
      </w:r>
      <w:bookmarkEnd w:id="27"/>
    </w:p>
    <w:p>
      <w:pPr>
        <w:pStyle w:val="Compact"/>
        <w:numPr>
          <w:numId w:val="1004"/>
          <w:ilvl w:val="0"/>
        </w:numPr>
      </w:pPr>
      <w:r>
        <w:t xml:space="preserve">57 CNFS validés dans 37 structures d’accueil</w:t>
      </w:r>
    </w:p>
    <w:p>
      <w:pPr>
        <w:pStyle w:val="Compact"/>
        <w:numPr>
          <w:numId w:val="1004"/>
          <w:ilvl w:val="0"/>
        </w:numPr>
      </w:pPr>
      <w:r>
        <w:t xml:space="preserve">49 CNFS recrutés</w:t>
      </w:r>
    </w:p>
    <w:p>
      <w:pPr>
        <w:pStyle w:val="Compact"/>
        <w:numPr>
          <w:numId w:val="1004"/>
          <w:ilvl w:val="0"/>
        </w:numPr>
      </w:pPr>
      <w:r>
        <w:t xml:space="preserve">1 CNFS en formation</w:t>
      </w:r>
    </w:p>
    <w:p>
      <w:pPr>
        <w:pStyle w:val="Compact"/>
        <w:numPr>
          <w:numId w:val="1004"/>
          <w:ilvl w:val="0"/>
        </w:numPr>
      </w:pPr>
      <w:r>
        <w:t xml:space="preserve">43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86 structures candidates</w:t>
      </w:r>
    </w:p>
    <w:p>
      <w:pPr>
        <w:pStyle w:val="Compact"/>
        <w:numPr>
          <w:numId w:val="1005"/>
          <w:ilvl w:val="0"/>
        </w:numPr>
      </w:pPr>
      <w:r>
        <w:t xml:space="preserve">320 aidants à habiliter au total</w:t>
      </w:r>
    </w:p>
    <w:p>
      <w:pPr>
        <w:pStyle w:val="Compact"/>
        <w:numPr>
          <w:numId w:val="1005"/>
          <w:ilvl w:val="0"/>
        </w:numPr>
      </w:pPr>
      <w:r>
        <w:t xml:space="preserve">76 structures ont finalisé leur habilitation (222 aidants formés au 16 septembre 2024)</w:t>
      </w:r>
    </w:p>
    <w:p>
      <w:pPr>
        <w:pStyle w:val="Titre2"/>
      </w:pPr>
      <w:bookmarkStart w:id="29" w:name="bases-adresses-locales"/>
      <w:r>
        <w:t xml:space="preserve">Bases adresses locales</w:t>
      </w:r>
      <w:bookmarkEnd w:id="29"/>
    </w:p>
    <w:p>
      <w:pPr>
        <w:pStyle w:val="FirstParagraph"/>
      </w:pPr>
      <w:r>
        <w:t xml:space="preserve">262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2024-09-19T02:16:25Z</dcterms:created>
  <dcterms:modified xsi:type="dcterms:W3CDTF">2024-09-19T02:16:25Z</dcterms:modified>
</cp:coreProperties>
</file>

<file path=docProps/custom.xml><?xml version="1.0" encoding="utf-8"?>
<Properties xmlns="http://schemas.openxmlformats.org/officeDocument/2006/custom-properties" xmlns:vt="http://schemas.openxmlformats.org/officeDocument/2006/docPropsVTypes"/>
</file>