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savoie"/>
      <w:r>
        <w:t xml:space="preserve">Numérique «Haute-Savoie»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 dont 67 dans le</w:t>
      </w:r>
      <w:r>
        <w:t xml:space="preserve"> </w:t>
      </w:r>
      <w:r>
        <w:t xml:space="preserve">département, parmi eux, 34 ont d’ores et déjà été mis en</w:t>
      </w:r>
      <w:r>
        <w:t xml:space="preserve"> </w:t>
      </w:r>
      <w:r>
        <w:t xml:space="preserve">service (sur un total de 541 mis en service au niveau régional).</w:t>
      </w:r>
    </w:p>
    <w:p>
      <w:pPr>
        <w:pStyle w:val="Corpsdetexte"/>
      </w:pPr>
      <w:r>
        <w:t xml:space="preserve">Dans le cadre du dispositif 4G fixe, dans la région</w:t>
      </w:r>
      <w:r>
        <w:t xml:space="preserve"> </w:t>
      </w:r>
      <w:r>
        <w:t xml:space="preserve">«Auvergne-Rhône-Alpes», 115 sites ont été identifiés dont 26 dans le</w:t>
      </w:r>
      <w:r>
        <w:t xml:space="preserve"> </w:t>
      </w:r>
      <w:r>
        <w:t xml:space="preserve">département, 6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62305"/>
            <wp:effectExtent b="0" l="0" r="0" t="0"/>
            <wp:docPr descr="" title="" id="1" name="Picture"/>
            <a:graphic>
              <a:graphicData uri="http://schemas.openxmlformats.org/drawingml/2006/picture">
                <pic:pic>
                  <pic:nvPicPr>
                    <pic:cNvPr descr="/srv/insitu/outbox/infographies/haut_débit/74.png" id="0" name="Picture"/>
                    <pic:cNvPicPr>
                      <a:picLocks noChangeArrowheads="1" noChangeAspect="1"/>
                    </pic:cNvPicPr>
                  </pic:nvPicPr>
                  <pic:blipFill>
                    <a:blip r:embed="rId23"/>
                    <a:stretch>
                      <a:fillRect/>
                    </a:stretch>
                  </pic:blipFill>
                  <pic:spPr bwMode="auto">
                    <a:xfrm>
                      <a:off x="0" y="0"/>
                      <a:ext cx="4572000" cy="2462305"/>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21 communes ;</w:t>
      </w:r>
    </w:p>
    <w:p>
      <w:pPr>
        <w:pStyle w:val="Compact"/>
        <w:numPr>
          <w:numId w:val="1001"/>
          <w:ilvl w:val="0"/>
        </w:numPr>
      </w:pPr>
      <w:r>
        <w:t xml:space="preserve">celle de CC de la Vallée de Chamonix-Mont-Blanc, CC Faucigny-Glières et SYANE dans la zone d’initiative publique qui comprend 258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219 545</w:t>
            </w:r>
            <w:r>
              <w:t xml:space="preserve"> </w:t>
            </w:r>
            <w:r>
              <w:rPr>
                <w:i/>
              </w:rPr>
              <w:t xml:space="preserve">35.0%</w:t>
            </w:r>
          </w:p>
        </w:tc>
        <w:tc>
          <w:p>
            <w:pPr>
              <w:pStyle w:val="Compact"/>
              <w:jc w:val="left"/>
            </w:pPr>
            <w:r>
              <w:t xml:space="preserve">194 249</w:t>
            </w:r>
            <w:r>
              <w:t xml:space="preserve"> </w:t>
            </w:r>
            <w:r>
              <w:rPr>
                <w:i/>
              </w:rPr>
              <w:t xml:space="preserve">88.0%</w:t>
            </w:r>
          </w:p>
        </w:tc>
      </w:tr>
      <w:tr>
        <w:tc>
          <w:p>
            <w:pPr>
              <w:pStyle w:val="Compact"/>
              <w:jc w:val="left"/>
            </w:pPr>
            <w:r>
              <w:t xml:space="preserve">Zone RIP</w:t>
            </w:r>
          </w:p>
        </w:tc>
        <w:tc>
          <w:p>
            <w:pPr>
              <w:pStyle w:val="Compact"/>
              <w:jc w:val="left"/>
            </w:pPr>
            <w:r>
              <w:t xml:space="preserve">414 939</w:t>
            </w:r>
            <w:r>
              <w:t xml:space="preserve"> </w:t>
            </w:r>
            <w:r>
              <w:rPr>
                <w:i/>
              </w:rPr>
              <w:t xml:space="preserve">65.0%</w:t>
            </w:r>
          </w:p>
        </w:tc>
        <w:tc>
          <w:p>
            <w:pPr>
              <w:pStyle w:val="Compact"/>
              <w:jc w:val="left"/>
            </w:pPr>
            <w:r>
              <w:t xml:space="preserve">252 557</w:t>
            </w:r>
            <w:r>
              <w:t xml:space="preserve"> </w:t>
            </w:r>
            <w:r>
              <w:rPr>
                <w:i/>
              </w:rPr>
              <w:t xml:space="preserve">61.0%</w:t>
            </w:r>
          </w:p>
        </w:tc>
      </w:tr>
      <w:tr>
        <w:tc>
          <w:p>
            <w:pPr>
              <w:pStyle w:val="Compact"/>
              <w:jc w:val="left"/>
            </w:pPr>
            <w:r>
              <w:rPr>
                <w:b/>
              </w:rPr>
              <w:t xml:space="preserve">Total</w:t>
            </w:r>
          </w:p>
        </w:tc>
        <w:tc>
          <w:p>
            <w:pPr>
              <w:pStyle w:val="Compact"/>
              <w:jc w:val="left"/>
            </w:pPr>
            <w:r>
              <w:t xml:space="preserve">634 484</w:t>
            </w:r>
            <w:r>
              <w:t xml:space="preserve"> </w:t>
            </w:r>
            <w:r>
              <w:rPr>
                <w:i/>
              </w:rPr>
              <w:t xml:space="preserve">100%</w:t>
            </w:r>
          </w:p>
        </w:tc>
        <w:tc>
          <w:p>
            <w:pPr>
              <w:pStyle w:val="Compact"/>
              <w:jc w:val="left"/>
            </w:pPr>
            <w:r>
              <w:t xml:space="preserve">446 806</w:t>
            </w:r>
            <w:r>
              <w:t xml:space="preserve"> </w:t>
            </w:r>
            <w:r>
              <w:rPr>
                <w:i/>
              </w:rPr>
              <w:t xml:space="preserve">70.0%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41 en région «Auvergne-Rhône-Alpes» et 2 dans le département :</w:t>
      </w:r>
    </w:p>
    <w:p>
      <w:pPr>
        <w:pStyle w:val="Compact"/>
        <w:numPr>
          <w:numId w:val="1002"/>
          <w:ilvl w:val="0"/>
        </w:numPr>
      </w:pPr>
      <w:r>
        <w:t xml:space="preserve">InnoVales, Pole territorial de coopération économique accompagné par le Pole Métropolitain du Genevois Français (8 EPCI ; 3 communautés d’agglomération, 5 communautés de communes) et de la Vallée de l’Arve (74) - 650 000 habitants.</w:t>
      </w:r>
      <w:r>
        <w:t xml:space="preserve"> </w:t>
      </w:r>
      <w:r>
        <w:t xml:space="preserve">Territoire French IMPACT depuis le 20 Décembre 2020</w:t>
      </w:r>
      <w:r>
        <w:t xml:space="preserve"> </w:t>
      </w:r>
      <w:r>
        <w:t xml:space="preserve">-pole industriel (décolletage et mécatronique)</w:t>
      </w:r>
      <w:r>
        <w:t xml:space="preserve"> </w:t>
      </w:r>
      <w:r>
        <w:t xml:space="preserve">-pole service :proximité de Genève</w:t>
      </w:r>
      <w:r>
        <w:t xml:space="preserve"> </w:t>
      </w:r>
      <w:r>
        <w:t xml:space="preserve">-pole tourisme : stations de sport d’hiver et tourisme de montagne (fortement impactés par le changement climatique). à Saint-Pierre-en-Faucigny</w:t>
      </w:r>
    </w:p>
    <w:p>
      <w:pPr>
        <w:pStyle w:val="Compact"/>
        <w:numPr>
          <w:numId w:val="1002"/>
          <w:ilvl w:val="0"/>
        </w:numPr>
      </w:pPr>
      <w:r>
        <w:t xml:space="preserve">L’Agence Economique du Chablais porteur pour le Consortium FABTECH (sans entité juridique) réunissant les associations L’Agence Economique du Chablais et le Pole Ressourcerie du Chablais à Thonon-les-Bains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«Auvergne-Rhône-Alpes» est couverte par le(s) Hub(s) :</w:t>
      </w:r>
      <w:r>
        <w:t xml:space="preserve"> </w:t>
      </w:r>
      <w:r>
        <w:t xml:space="preserve">Hinaura.</w:t>
      </w:r>
    </w:p>
    <w:p>
      <w:pPr>
        <w:pStyle w:val="Titre2"/>
      </w:pPr>
      <w:bookmarkStart w:id="27" w:name="conseillers-numériques"/>
      <w:r>
        <w:t xml:space="preserve">Conseillers numériques</w:t>
      </w:r>
      <w:bookmarkEnd w:id="27"/>
    </w:p>
    <w:p>
      <w:pPr>
        <w:pStyle w:val="Compact"/>
        <w:numPr>
          <w:numId w:val="1003"/>
          <w:ilvl w:val="0"/>
        </w:numPr>
      </w:pPr>
      <w:r>
        <w:t xml:space="preserve">32 CNFS validés dans 27 structures d’accueil</w:t>
      </w:r>
    </w:p>
    <w:p>
      <w:pPr>
        <w:pStyle w:val="Compact"/>
        <w:numPr>
          <w:numId w:val="1003"/>
          <w:ilvl w:val="0"/>
        </w:numPr>
      </w:pPr>
      <w:r>
        <w:t xml:space="preserve">27 CNFS recrutés</w:t>
      </w:r>
    </w:p>
    <w:p>
      <w:pPr>
        <w:pStyle w:val="Compact"/>
        <w:numPr>
          <w:numId w:val="1003"/>
          <w:ilvl w:val="0"/>
        </w:numPr>
      </w:pPr>
      <w:r>
        <w:t xml:space="preserve">1 CNFS en formation</w:t>
      </w:r>
    </w:p>
    <w:p>
      <w:pPr>
        <w:pStyle w:val="Compact"/>
        <w:numPr>
          <w:numId w:val="1003"/>
          <w:ilvl w:val="0"/>
        </w:numPr>
      </w:pPr>
      <w:r>
        <w:t xml:space="preserve">23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76 structures candidates</w:t>
      </w:r>
    </w:p>
    <w:p>
      <w:pPr>
        <w:pStyle w:val="Compact"/>
        <w:numPr>
          <w:numId w:val="1004"/>
          <w:ilvl w:val="0"/>
        </w:numPr>
      </w:pPr>
      <w:r>
        <w:t xml:space="preserve">424 aidants à habiliter au total</w:t>
      </w:r>
    </w:p>
    <w:p>
      <w:pPr>
        <w:pStyle w:val="Compact"/>
        <w:numPr>
          <w:numId w:val="1004"/>
          <w:ilvl w:val="0"/>
        </w:numPr>
      </w:pPr>
      <w:r>
        <w:t xml:space="preserve">73 structures ont finalisé leur habilitation (391 aidants formés au 16 septembre 2024)</w:t>
      </w:r>
    </w:p>
    <w:p>
      <w:pPr>
        <w:pStyle w:val="Titre2"/>
      </w:pPr>
      <w:bookmarkStart w:id="29" w:name="bases-adresses-locales"/>
      <w:r>
        <w:t xml:space="preserve">Bases adresses locales</w:t>
      </w:r>
      <w:bookmarkEnd w:id="29"/>
    </w:p>
    <w:p>
      <w:pPr>
        <w:pStyle w:val="FirstParagraph"/>
      </w:pPr>
      <w:r>
        <w:t xml:space="preserve">279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2024-09-19T02:16:20Z</dcterms:created>
  <dcterms:modified xsi:type="dcterms:W3CDTF">2024-09-19T02:16:20Z</dcterms:modified>
</cp:coreProperties>
</file>

<file path=docProps/custom.xml><?xml version="1.0" encoding="utf-8"?>
<Properties xmlns="http://schemas.openxmlformats.org/officeDocument/2006/custom-properties" xmlns:vt="http://schemas.openxmlformats.org/officeDocument/2006/docPropsVTypes"/>
</file>