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avoie"/>
      <w:r>
        <w:t xml:space="preserve">Numérique «Savoie»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75 dans le</w:t>
      </w:r>
      <w:r>
        <w:t xml:space="preserve"> </w:t>
      </w:r>
      <w:r>
        <w:t xml:space="preserve">département, parmi eux, 35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7 dans le</w:t>
      </w:r>
      <w:r>
        <w:t xml:space="preserve"> </w:t>
      </w:r>
      <w:r>
        <w:t xml:space="preserve">département, 2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w:t>
      </w:r>
      <w:r>
        <w:rPr>
          <w:rStyle w:val="FootnoteReference"/>
        </w:rPr>
        <w:footnoteReference w:id="23"/>
      </w:r>
      <w:r>
        <w:t xml:space="preserve"> </w:t>
      </w:r>
      <w:r>
        <w:t xml:space="preserve">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59091"/>
            <wp:effectExtent b="0" l="0" r="0" t="0"/>
            <wp:docPr descr="" title="" id="1" name="Picture"/>
            <a:graphic>
              <a:graphicData uri="http://schemas.openxmlformats.org/drawingml/2006/picture">
                <pic:pic>
                  <pic:nvPicPr>
                    <pic:cNvPr descr="/srv/insitu/outbox/infographies/haut_débit/73.png" id="0" name="Picture"/>
                    <pic:cNvPicPr>
                      <a:picLocks noChangeArrowheads="1" noChangeAspect="1"/>
                    </pic:cNvPicPr>
                  </pic:nvPicPr>
                  <pic:blipFill>
                    <a:blip r:embed="rId24"/>
                    <a:stretch>
                      <a:fillRect/>
                    </a:stretch>
                  </pic:blipFill>
                  <pic:spPr bwMode="auto">
                    <a:xfrm>
                      <a:off x="0" y="0"/>
                      <a:ext cx="4572000" cy="245909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XP Fibre sur 231 communes ;</w:t>
      </w:r>
    </w:p>
    <w:p>
      <w:pPr>
        <w:pStyle w:val="Compact"/>
        <w:numPr>
          <w:numId w:val="1001"/>
          <w:ilvl w:val="0"/>
        </w:numPr>
      </w:pPr>
      <w:r>
        <w:t xml:space="preserve">celle de Orange sur 42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263 132</w:t>
            </w:r>
            <w:r>
              <w:t xml:space="preserve"> </w:t>
            </w:r>
            <w:r>
              <w:rPr>
                <w:i/>
              </w:rPr>
              <w:t xml:space="preserve">63.0%</w:t>
            </w:r>
          </w:p>
        </w:tc>
        <w:tc>
          <w:p>
            <w:pPr>
              <w:pStyle w:val="Compact"/>
              <w:jc w:val="left"/>
            </w:pPr>
            <w:r>
              <w:t xml:space="preserve">196 647</w:t>
            </w:r>
            <w:r>
              <w:t xml:space="preserve"> </w:t>
            </w:r>
            <w:r>
              <w:rPr>
                <w:i/>
              </w:rPr>
              <w:t xml:space="preserve">75.0%</w:t>
            </w:r>
          </w:p>
        </w:tc>
      </w:tr>
      <w:tr>
        <w:tc>
          <w:p>
            <w:pPr>
              <w:pStyle w:val="Compact"/>
              <w:jc w:val="left"/>
            </w:pPr>
            <w:r>
              <w:t xml:space="preserve">Zone AMII</w:t>
            </w:r>
          </w:p>
        </w:tc>
        <w:tc>
          <w:p>
            <w:pPr>
              <w:pStyle w:val="Compact"/>
              <w:jc w:val="left"/>
            </w:pPr>
            <w:r>
              <w:t xml:space="preserve">157 274</w:t>
            </w:r>
            <w:r>
              <w:t xml:space="preserve"> </w:t>
            </w:r>
            <w:r>
              <w:rPr>
                <w:i/>
              </w:rPr>
              <w:t xml:space="preserve">37.0%</w:t>
            </w:r>
          </w:p>
        </w:tc>
        <w:tc>
          <w:p>
            <w:pPr>
              <w:pStyle w:val="Compact"/>
              <w:jc w:val="left"/>
            </w:pPr>
            <w:r>
              <w:t xml:space="preserve">138 576</w:t>
            </w:r>
            <w:r>
              <w:t xml:space="preserve"> </w:t>
            </w:r>
            <w:r>
              <w:rPr>
                <w:i/>
              </w:rPr>
              <w:t xml:space="preserve">88.0%</w:t>
            </w:r>
          </w:p>
        </w:tc>
      </w:tr>
      <w:tr>
        <w:tc>
          <w:p>
            <w:pPr>
              <w:pStyle w:val="Compact"/>
              <w:jc w:val="left"/>
            </w:pPr>
            <w:r>
              <w:rPr>
                <w:b/>
              </w:rPr>
              <w:t xml:space="preserve">Total</w:t>
            </w:r>
          </w:p>
        </w:tc>
        <w:tc>
          <w:p>
            <w:pPr>
              <w:pStyle w:val="Compact"/>
              <w:jc w:val="left"/>
            </w:pPr>
            <w:r>
              <w:t xml:space="preserve">420 406</w:t>
            </w:r>
            <w:r>
              <w:t xml:space="preserve"> </w:t>
            </w:r>
            <w:r>
              <w:rPr>
                <w:i/>
              </w:rPr>
              <w:t xml:space="preserve">100%</w:t>
            </w:r>
          </w:p>
        </w:tc>
        <w:tc>
          <w:p>
            <w:pPr>
              <w:pStyle w:val="Compact"/>
              <w:jc w:val="left"/>
            </w:pPr>
            <w:r>
              <w:t xml:space="preserve">335 223</w:t>
            </w:r>
            <w:r>
              <w:t xml:space="preserve"> </w:t>
            </w:r>
            <w:r>
              <w:rPr>
                <w:i/>
              </w:rPr>
              <w:t xml:space="preserve">80.0%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5" w:name="fabriques-numériques"/>
      <w:r>
        <w:t xml:space="preserve">Fabriques numériques</w:t>
      </w:r>
      <w:bookmarkEnd w:id="25"/>
    </w:p>
    <w:p>
      <w:pPr>
        <w:pStyle w:val="FirstParagraph"/>
      </w:pPr>
      <w:r>
        <w:t xml:space="preserve">300 fabriques ont déjà été retenues au titre de</w:t>
      </w:r>
      <w:r>
        <w:t xml:space="preserve"> </w:t>
      </w:r>
      <w:r>
        <w:t xml:space="preserve">l’AMI, dont 41 en région «Auvergne-Rhône-Alpes» et 3 dans le département :</w:t>
      </w:r>
    </w:p>
    <w:p>
      <w:pPr>
        <w:pStyle w:val="Compact"/>
        <w:numPr>
          <w:numId w:val="1002"/>
          <w:ilvl w:val="0"/>
        </w:numPr>
      </w:pPr>
      <w:r>
        <w:t xml:space="preserve">La Zofate à Albertville</w:t>
      </w:r>
    </w:p>
    <w:p>
      <w:pPr>
        <w:pStyle w:val="Compact"/>
        <w:numPr>
          <w:numId w:val="1002"/>
          <w:ilvl w:val="0"/>
        </w:numPr>
      </w:pPr>
      <w:r>
        <w:t xml:space="preserve">VILLE DE CHAMBERY et GRAND CHAMBERY à Chambéry</w:t>
      </w:r>
    </w:p>
    <w:p>
      <w:pPr>
        <w:pStyle w:val="Compact"/>
        <w:numPr>
          <w:numId w:val="1002"/>
          <w:ilvl w:val="0"/>
        </w:numPr>
      </w:pPr>
      <w:r>
        <w:t xml:space="preserve">SCIC AGORA GUIERS à Le Pont-de-Beauvoisin</w:t>
      </w:r>
    </w:p>
    <w:p>
      <w:pPr>
        <w:pStyle w:val="Titre2"/>
      </w:pPr>
      <w:bookmarkStart w:id="26" w:name="manufactures-de-proximité"/>
      <w:r>
        <w:t xml:space="preserve">Manufactures de proximité</w:t>
      </w:r>
      <w:bookmarkEnd w:id="26"/>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7" w:name="hubs-territoriaux"/>
      <w:r>
        <w:t xml:space="preserve">Hubs Territoriaux</w:t>
      </w:r>
      <w:bookmarkEnd w:id="27"/>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8" w:name="conseillers-numériques"/>
      <w:r>
        <w:t xml:space="preserve">Conseillers numériques</w:t>
      </w:r>
      <w:bookmarkEnd w:id="28"/>
    </w:p>
    <w:p>
      <w:pPr>
        <w:pStyle w:val="Compact"/>
        <w:numPr>
          <w:numId w:val="1003"/>
          <w:ilvl w:val="0"/>
        </w:numPr>
      </w:pPr>
      <w:r>
        <w:t xml:space="preserve">24 CNFS validés dans 17 structures d’accueil</w:t>
      </w:r>
    </w:p>
    <w:p>
      <w:pPr>
        <w:pStyle w:val="Compact"/>
        <w:numPr>
          <w:numId w:val="1003"/>
          <w:ilvl w:val="0"/>
        </w:numPr>
      </w:pPr>
      <w:r>
        <w:t xml:space="preserve">16 CNFS recrutés</w:t>
      </w:r>
    </w:p>
    <w:p>
      <w:pPr>
        <w:pStyle w:val="Compact"/>
        <w:numPr>
          <w:numId w:val="1003"/>
          <w:ilvl w:val="0"/>
        </w:numPr>
      </w:pPr>
      <w:r>
        <w:t xml:space="preserve">0 CNFS en formation</w:t>
      </w:r>
    </w:p>
    <w:p>
      <w:pPr>
        <w:pStyle w:val="Compact"/>
        <w:numPr>
          <w:numId w:val="1003"/>
          <w:ilvl w:val="0"/>
        </w:numPr>
      </w:pPr>
      <w:r>
        <w:t xml:space="preserve">14 CNFS en poste</w:t>
      </w:r>
    </w:p>
    <w:p>
      <w:pPr>
        <w:pStyle w:val="Titre2"/>
      </w:pPr>
      <w:bookmarkStart w:id="29" w:name="aidants-connect"/>
      <w:r>
        <w:t xml:space="preserve">Aidants connect</w:t>
      </w:r>
      <w:bookmarkEnd w:id="29"/>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33 structures candidates</w:t>
      </w:r>
    </w:p>
    <w:p>
      <w:pPr>
        <w:pStyle w:val="Compact"/>
        <w:numPr>
          <w:numId w:val="1004"/>
          <w:ilvl w:val="0"/>
        </w:numPr>
      </w:pPr>
      <w:r>
        <w:t xml:space="preserve">124 aidants à habiliter au total</w:t>
      </w:r>
    </w:p>
    <w:p>
      <w:pPr>
        <w:pStyle w:val="Compact"/>
        <w:numPr>
          <w:numId w:val="1004"/>
          <w:ilvl w:val="0"/>
        </w:numPr>
      </w:pPr>
      <w:r>
        <w:t xml:space="preserve">33 structures ont finalisé leur habilitation (118 aidants formés au 16 septembre 2024)</w:t>
      </w:r>
    </w:p>
    <w:p>
      <w:pPr>
        <w:pStyle w:val="Titre2"/>
      </w:pPr>
      <w:bookmarkStart w:id="30" w:name="bases-adresses-locales"/>
      <w:r>
        <w:t xml:space="preserve">Bases adresses locales</w:t>
      </w:r>
      <w:bookmarkEnd w:id="30"/>
    </w:p>
    <w:p>
      <w:pPr>
        <w:pStyle w:val="FirstParagraph"/>
      </w:pPr>
      <w:r>
        <w:t xml:space="preserve">272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1" w:name="fraîcheur-des-données"/>
      <w:r>
        <w:t xml:space="preserve">Fraîcheur des données</w:t>
      </w:r>
      <w:bookmarkEnd w:id="31"/>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Notedebasdepage"/>
      </w:pPr>
      <w:r>
        <w:rPr>
          <w:rStyle w:val="FootnoteReference"/>
        </w:rPr>
        <w:footnoteRef/>
      </w:r>
      <w:r>
        <w:t xml:space="preserve"> </w:t>
      </w:r>
      <w:r>
        <w:rPr>
          <w:i/>
        </w:rPr>
        <w:t xml:space="preserve">Les 1.01% de locaux non desservis au 05 avril 2024 par des</w:t>
      </w:r>
      <w:r>
        <w:rPr>
          <w:i/>
        </w:rPr>
        <w:t xml:space="preserve"> </w:t>
      </w:r>
      <w:r>
        <w:rPr>
          <w:i/>
        </w:rPr>
        <w:t xml:space="preserve">infrastructures terrestres permettant un bon haut débit peuvent</w:t>
      </w:r>
      <w:r>
        <w:rPr>
          <w:i/>
        </w:rPr>
        <w:t xml:space="preserve"> </w:t>
      </w:r>
      <w:r>
        <w:rPr>
          <w:i/>
        </w:rPr>
        <w:t xml:space="preserve">souscrire à une solution satellitaire offrant</w:t>
      </w:r>
      <w:r>
        <w:t xml:space="preserve"> </w:t>
      </w:r>
      <w:r>
        <w:t xml:space="preserve">a minima</w:t>
      </w:r>
      <w:r>
        <w:t xml:space="preserve"> </w:t>
      </w:r>
      <w:r>
        <w:rPr>
          <w:i/>
        </w:rPr>
        <w:t xml:space="preserve">8Mbit/s.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2024-09-19T02:16:19Z</dcterms:created>
  <dcterms:modified xsi:type="dcterms:W3CDTF">2024-09-19T02:16:19Z</dcterms:modified>
</cp:coreProperties>
</file>

<file path=docProps/custom.xml><?xml version="1.0" encoding="utf-8"?>
<Properties xmlns="http://schemas.openxmlformats.org/officeDocument/2006/custom-properties" xmlns:vt="http://schemas.openxmlformats.org/officeDocument/2006/docPropsVTypes"/>
</file>