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aône-et-loire"/>
      <w:r>
        <w:t xml:space="preserve">Numérique «Saône-et-Loire»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50 dans le</w:t>
      </w:r>
      <w:r>
        <w:t xml:space="preserve"> </w:t>
      </w:r>
      <w:r>
        <w:t xml:space="preserve">département, parmi eux, 38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14 dans le</w:t>
      </w:r>
      <w:r>
        <w:t xml:space="preserve"> </w:t>
      </w:r>
      <w:r>
        <w:t xml:space="preserve">département, 12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2767"/>
            <wp:effectExtent b="0" l="0" r="0" t="0"/>
            <wp:docPr descr="" title="" id="1" name="Picture"/>
            <a:graphic>
              <a:graphicData uri="http://schemas.openxmlformats.org/drawingml/2006/picture">
                <pic:pic>
                  <pic:nvPicPr>
                    <pic:cNvPr descr="/srv/insitu/outbox/infographies/haut_débit/71.png" id="0" name="Picture"/>
                    <pic:cNvPicPr>
                      <a:picLocks noChangeArrowheads="1" noChangeAspect="1"/>
                    </pic:cNvPicPr>
                  </pic:nvPicPr>
                  <pic:blipFill>
                    <a:blip r:embed="rId23"/>
                    <a:stretch>
                      <a:fillRect/>
                    </a:stretch>
                  </pic:blipFill>
                  <pic:spPr bwMode="auto">
                    <a:xfrm>
                      <a:off x="0" y="0"/>
                      <a:ext cx="4572000" cy="230276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XP Fibre sur 248 communes ;</w:t>
      </w:r>
    </w:p>
    <w:p>
      <w:pPr>
        <w:pStyle w:val="Compact"/>
        <w:numPr>
          <w:numId w:val="1001"/>
          <w:ilvl w:val="0"/>
        </w:numPr>
      </w:pPr>
      <w:r>
        <w:t xml:space="preserve">celle de Orange et XP Fibre sur 70 communes ;</w:t>
      </w:r>
    </w:p>
    <w:p>
      <w:pPr>
        <w:pStyle w:val="Compact"/>
        <w:numPr>
          <w:numId w:val="1001"/>
          <w:ilvl w:val="0"/>
        </w:numPr>
      </w:pPr>
      <w:r>
        <w:t xml:space="preserve">celle de CD Saône-et-Loire dans la zone d’initiative publique qui comprend 246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110 567</w:t>
            </w:r>
            <w:r>
              <w:t xml:space="preserve"> </w:t>
            </w:r>
            <w:r>
              <w:rPr>
                <w:i/>
              </w:rPr>
              <w:t xml:space="preserve">30.0%</w:t>
            </w:r>
          </w:p>
        </w:tc>
        <w:tc>
          <w:p>
            <w:pPr>
              <w:pStyle w:val="Compact"/>
              <w:jc w:val="left"/>
            </w:pPr>
            <w:r>
              <w:t xml:space="preserve">110 007</w:t>
            </w:r>
            <w:r>
              <w:t xml:space="preserve"> </w:t>
            </w:r>
            <w:r>
              <w:rPr>
                <w:i/>
              </w:rPr>
              <w:t xml:space="preserve">99.0%</w:t>
            </w:r>
          </w:p>
        </w:tc>
      </w:tr>
      <w:tr>
        <w:tc>
          <w:p>
            <w:pPr>
              <w:pStyle w:val="Compact"/>
              <w:jc w:val="left"/>
            </w:pPr>
            <w:r>
              <w:t xml:space="preserve">Zone AMII</w:t>
            </w:r>
          </w:p>
        </w:tc>
        <w:tc>
          <w:p>
            <w:pPr>
              <w:pStyle w:val="Compact"/>
              <w:jc w:val="left"/>
            </w:pPr>
            <w:r>
              <w:t xml:space="preserve">154 614</w:t>
            </w:r>
            <w:r>
              <w:t xml:space="preserve"> </w:t>
            </w:r>
            <w:r>
              <w:rPr>
                <w:i/>
              </w:rPr>
              <w:t xml:space="preserve">42.0%</w:t>
            </w:r>
          </w:p>
        </w:tc>
        <w:tc>
          <w:p>
            <w:pPr>
              <w:pStyle w:val="Compact"/>
              <w:jc w:val="left"/>
            </w:pPr>
            <w:r>
              <w:t xml:space="preserve">138 582</w:t>
            </w:r>
            <w:r>
              <w:t xml:space="preserve"> </w:t>
            </w:r>
            <w:r>
              <w:rPr>
                <w:i/>
              </w:rPr>
              <w:t xml:space="preserve">90.0%</w:t>
            </w:r>
          </w:p>
        </w:tc>
      </w:tr>
      <w:tr>
        <w:tc>
          <w:p>
            <w:pPr>
              <w:pStyle w:val="Compact"/>
              <w:jc w:val="left"/>
            </w:pPr>
            <w:r>
              <w:t xml:space="preserve">Zone RIP</w:t>
            </w:r>
          </w:p>
        </w:tc>
        <w:tc>
          <w:p>
            <w:pPr>
              <w:pStyle w:val="Compact"/>
              <w:jc w:val="left"/>
            </w:pPr>
            <w:r>
              <w:t xml:space="preserve">104 336</w:t>
            </w:r>
            <w:r>
              <w:t xml:space="preserve"> </w:t>
            </w:r>
            <w:r>
              <w:rPr>
                <w:i/>
              </w:rPr>
              <w:t xml:space="preserve">28.0%</w:t>
            </w:r>
          </w:p>
        </w:tc>
        <w:tc>
          <w:p>
            <w:pPr>
              <w:pStyle w:val="Compact"/>
              <w:jc w:val="left"/>
            </w:pPr>
            <w:r>
              <w:t xml:space="preserve">97 214</w:t>
            </w:r>
            <w:r>
              <w:t xml:space="preserve"> </w:t>
            </w:r>
            <w:r>
              <w:rPr>
                <w:i/>
              </w:rPr>
              <w:t xml:space="preserve">93.0%</w:t>
            </w:r>
          </w:p>
        </w:tc>
      </w:tr>
      <w:tr>
        <w:tc>
          <w:p>
            <w:pPr>
              <w:pStyle w:val="Compact"/>
              <w:jc w:val="left"/>
            </w:pPr>
            <w:r>
              <w:rPr>
                <w:b/>
              </w:rPr>
              <w:t xml:space="preserve">Total</w:t>
            </w:r>
          </w:p>
        </w:tc>
        <w:tc>
          <w:p>
            <w:pPr>
              <w:pStyle w:val="Compact"/>
              <w:jc w:val="left"/>
            </w:pPr>
            <w:r>
              <w:t xml:space="preserve">369 517</w:t>
            </w:r>
            <w:r>
              <w:t xml:space="preserve"> </w:t>
            </w:r>
            <w:r>
              <w:rPr>
                <w:i/>
              </w:rPr>
              <w:t xml:space="preserve">100%</w:t>
            </w:r>
          </w:p>
        </w:tc>
        <w:tc>
          <w:p>
            <w:pPr>
              <w:pStyle w:val="Compact"/>
              <w:jc w:val="left"/>
            </w:pPr>
            <w:r>
              <w:t xml:space="preserve">345 803</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2 dans le département :</w:t>
      </w:r>
    </w:p>
    <w:p>
      <w:pPr>
        <w:pStyle w:val="Compact"/>
        <w:numPr>
          <w:numId w:val="1002"/>
          <w:ilvl w:val="0"/>
        </w:numPr>
      </w:pPr>
      <w:r>
        <w:t xml:space="preserve">Grand Autunois Morvan à Autun</w:t>
      </w:r>
    </w:p>
    <w:p>
      <w:pPr>
        <w:pStyle w:val="Compact"/>
        <w:numPr>
          <w:numId w:val="1002"/>
          <w:ilvl w:val="0"/>
        </w:numPr>
      </w:pPr>
      <w:r>
        <w:t xml:space="preserve">Syntaxe Erreur 2.0 à Gueugnon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du Haut-Clunisois (Tramayes)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4"/>
          <w:ilvl w:val="0"/>
        </w:numPr>
      </w:pPr>
      <w:r>
        <w:t xml:space="preserve">35 CNFS validés dans 21 structures d’accueil</w:t>
      </w:r>
    </w:p>
    <w:p>
      <w:pPr>
        <w:pStyle w:val="Compact"/>
        <w:numPr>
          <w:numId w:val="1004"/>
          <w:ilvl w:val="0"/>
        </w:numPr>
      </w:pPr>
      <w:r>
        <w:t xml:space="preserve">26 CNFS recrutés</w:t>
      </w:r>
    </w:p>
    <w:p>
      <w:pPr>
        <w:pStyle w:val="Compact"/>
        <w:numPr>
          <w:numId w:val="1004"/>
          <w:ilvl w:val="0"/>
        </w:numPr>
      </w:pPr>
      <w:r>
        <w:t xml:space="preserve">0 CNFS en formation</w:t>
      </w:r>
    </w:p>
    <w:p>
      <w:pPr>
        <w:pStyle w:val="Compact"/>
        <w:numPr>
          <w:numId w:val="1004"/>
          <w:ilvl w:val="0"/>
        </w:numPr>
      </w:pPr>
      <w:r>
        <w:t xml:space="preserve">21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56 structures candidates</w:t>
      </w:r>
    </w:p>
    <w:p>
      <w:pPr>
        <w:pStyle w:val="Compact"/>
        <w:numPr>
          <w:numId w:val="1005"/>
          <w:ilvl w:val="0"/>
        </w:numPr>
      </w:pPr>
      <w:r>
        <w:t xml:space="preserve">159 aidants à habiliter au total</w:t>
      </w:r>
    </w:p>
    <w:p>
      <w:pPr>
        <w:pStyle w:val="Compact"/>
        <w:numPr>
          <w:numId w:val="1005"/>
          <w:ilvl w:val="0"/>
        </w:numPr>
      </w:pPr>
      <w:r>
        <w:t xml:space="preserve">54 structures ont finalisé leur habilitation (158 aidants formés au 16 septembre 2024)</w:t>
      </w:r>
    </w:p>
    <w:p>
      <w:pPr>
        <w:pStyle w:val="Titre2"/>
      </w:pPr>
      <w:bookmarkStart w:id="29" w:name="bases-adresses-locales"/>
      <w:r>
        <w:t xml:space="preserve">Bases adresses locales</w:t>
      </w:r>
      <w:bookmarkEnd w:id="29"/>
    </w:p>
    <w:p>
      <w:pPr>
        <w:pStyle w:val="FirstParagraph"/>
      </w:pPr>
      <w:r>
        <w:t xml:space="preserve">362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2024-09-19T02:16:15Z</dcterms:created>
  <dcterms:modified xsi:type="dcterms:W3CDTF">2024-09-19T02:16:15Z</dcterms:modified>
</cp:coreProperties>
</file>

<file path=docProps/custom.xml><?xml version="1.0" encoding="utf-8"?>
<Properties xmlns="http://schemas.openxmlformats.org/officeDocument/2006/custom-properties" xmlns:vt="http://schemas.openxmlformats.org/officeDocument/2006/docPropsVTypes"/>
</file>