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rhône"/>
      <w:r>
        <w:t xml:space="preserve">Numérique «Rhône»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«Auvergne-Rhône-Alpes», 860 sites ont été identifiés dont 51 dans le</w:t>
      </w:r>
      <w:r>
        <w:t xml:space="preserve"> </w:t>
      </w:r>
      <w:r>
        <w:t xml:space="preserve">département, parmi eux, 27 ont d’ores et déjà été mis en</w:t>
      </w:r>
      <w:r>
        <w:t xml:space="preserve"> </w:t>
      </w:r>
      <w:r>
        <w:t xml:space="preserve">service (sur un total de 541 mis en service au niveau régional).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77707"/>
            <wp:effectExtent b="0" l="0" r="0" t="0"/>
            <wp:docPr descr="" title="" id="1" name="Picture"/>
            <a:graphic>
              <a:graphicData uri="http://schemas.openxmlformats.org/drawingml/2006/picture">
                <pic:pic>
                  <pic:nvPicPr>
                    <pic:cNvPr descr="/srv/insitu/outbox/infographies/haut_débit/69.png" id="0" name="Picture"/>
                    <pic:cNvPicPr>
                      <a:picLocks noChangeArrowheads="1" noChangeAspect="1"/>
                    </pic:cNvPicPr>
                  </pic:nvPicPr>
                  <pic:blipFill>
                    <a:blip r:embed="rId23"/>
                    <a:stretch>
                      <a:fillRect/>
                    </a:stretch>
                  </pic:blipFill>
                  <pic:spPr bwMode="auto">
                    <a:xfrm>
                      <a:off x="0" y="0"/>
                      <a:ext cx="4572000" cy="2277707"/>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L’initiative privée des opérateurs dans la zone très dense, qui comprend 7 communes ;</w:t>
      </w:r>
    </w:p>
    <w:p>
      <w:pPr>
        <w:pStyle w:val="Compact"/>
        <w:numPr>
          <w:numId w:val="1001"/>
          <w:ilvl w:val="0"/>
        </w:numPr>
      </w:pPr>
      <w:r>
        <w:t xml:space="preserve">celle de Orange, Orange / XP Fibre et XP Fibre sur 259 communes ;</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594 896</w:t>
            </w:r>
            <w:r>
              <w:t xml:space="preserve"> </w:t>
            </w:r>
            <w:r>
              <w:rPr>
                <w:i/>
              </w:rPr>
              <w:t xml:space="preserve">50.0%</w:t>
            </w:r>
          </w:p>
        </w:tc>
        <w:tc>
          <w:p>
            <w:pPr>
              <w:pStyle w:val="Compact"/>
              <w:jc w:val="left"/>
            </w:pPr>
            <w:r>
              <w:t xml:space="preserve">567 390</w:t>
            </w:r>
            <w:r>
              <w:t xml:space="preserve"> </w:t>
            </w:r>
            <w:r>
              <w:rPr>
                <w:i/>
              </w:rPr>
              <w:t xml:space="preserve">95.0%</w:t>
            </w:r>
          </w:p>
        </w:tc>
      </w:tr>
      <w:tr>
        <w:tc>
          <w:p>
            <w:pPr>
              <w:pStyle w:val="Compact"/>
              <w:jc w:val="left"/>
            </w:pPr>
            <w:r>
              <w:t xml:space="preserve">Zone AMII</w:t>
            </w:r>
          </w:p>
        </w:tc>
        <w:tc>
          <w:p>
            <w:pPr>
              <w:pStyle w:val="Compact"/>
              <w:jc w:val="left"/>
            </w:pPr>
            <w:r>
              <w:t xml:space="preserve">604 368</w:t>
            </w:r>
            <w:r>
              <w:t xml:space="preserve"> </w:t>
            </w:r>
            <w:r>
              <w:rPr>
                <w:i/>
              </w:rPr>
              <w:t xml:space="preserve">50.0%</w:t>
            </w:r>
          </w:p>
        </w:tc>
        <w:tc>
          <w:p>
            <w:pPr>
              <w:pStyle w:val="Compact"/>
              <w:jc w:val="left"/>
            </w:pPr>
            <w:r>
              <w:t xml:space="preserve">558 109</w:t>
            </w:r>
            <w:r>
              <w:t xml:space="preserve"> </w:t>
            </w:r>
            <w:r>
              <w:rPr>
                <w:i/>
              </w:rPr>
              <w:t xml:space="preserve">92.0%</w:t>
            </w:r>
          </w:p>
        </w:tc>
      </w:tr>
      <w:tr>
        <w:tc>
          <w:p>
            <w:pPr>
              <w:pStyle w:val="Compact"/>
              <w:jc w:val="left"/>
            </w:pPr>
            <w:r>
              <w:rPr>
                <w:b/>
              </w:rPr>
              <w:t xml:space="preserve">Total</w:t>
            </w:r>
          </w:p>
        </w:tc>
        <w:tc>
          <w:p>
            <w:pPr>
              <w:pStyle w:val="Compact"/>
              <w:jc w:val="left"/>
            </w:pPr>
            <w:r>
              <w:t xml:space="preserve">1 199 264</w:t>
            </w:r>
            <w:r>
              <w:t xml:space="preserve"> </w:t>
            </w:r>
            <w:r>
              <w:rPr>
                <w:i/>
              </w:rPr>
              <w:t xml:space="preserve">100%</w:t>
            </w:r>
          </w:p>
        </w:tc>
        <w:tc>
          <w:p>
            <w:pPr>
              <w:pStyle w:val="Compact"/>
              <w:jc w:val="left"/>
            </w:pPr>
            <w:r>
              <w:t xml:space="preserve">1 125 499</w:t>
            </w:r>
            <w:r>
              <w:t xml:space="preserve"> </w:t>
            </w:r>
            <w:r>
              <w:rPr>
                <w:i/>
              </w:rPr>
              <w:t xml:space="preserve">94.0%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41 en région «Auvergne-Rhône-Alpes» et 7 dans le département :</w:t>
      </w:r>
    </w:p>
    <w:p>
      <w:pPr>
        <w:pStyle w:val="Compact"/>
        <w:numPr>
          <w:numId w:val="1002"/>
          <w:ilvl w:val="0"/>
        </w:numPr>
      </w:pPr>
      <w:r>
        <w:t xml:space="preserve">AJD MAURICE GOUNON à Amplepuis</w:t>
      </w:r>
    </w:p>
    <w:p>
      <w:pPr>
        <w:pStyle w:val="Compact"/>
        <w:numPr>
          <w:numId w:val="1002"/>
          <w:ilvl w:val="0"/>
        </w:numPr>
      </w:pPr>
      <w:r>
        <w:t xml:space="preserve">Collectif</w:t>
      </w:r>
      <w:r>
        <w:t xml:space="preserve"> </w:t>
      </w:r>
      <w:r>
        <w:t xml:space="preserve">“</w:t>
      </w:r>
      <w:r>
        <w:t xml:space="preserve">Apprendre &amp; Devenir</w:t>
      </w:r>
      <w:r>
        <w:t xml:space="preserve">”</w:t>
      </w:r>
      <w:r>
        <w:t xml:space="preserve"> </w:t>
      </w:r>
      <w:r>
        <w:t xml:space="preserve">Chef de file du consortium : La Maison de l’Apprendre</w:t>
      </w:r>
      <w:r>
        <w:t xml:space="preserve"> </w:t>
      </w:r>
      <w:r>
        <w:t xml:space="preserve">à Lyon</w:t>
      </w:r>
    </w:p>
    <w:p>
      <w:pPr>
        <w:pStyle w:val="Compact"/>
        <w:numPr>
          <w:numId w:val="1002"/>
          <w:ilvl w:val="0"/>
        </w:numPr>
      </w:pPr>
      <w:r>
        <w:t xml:space="preserve">arcencielfrance à Lyon</w:t>
      </w:r>
    </w:p>
    <w:p>
      <w:pPr>
        <w:pStyle w:val="Compact"/>
        <w:numPr>
          <w:numId w:val="1002"/>
          <w:ilvl w:val="0"/>
        </w:numPr>
      </w:pPr>
      <w:r>
        <w:t xml:space="preserve">Communauté de l’Ouest Rhodanien à Tarare</w:t>
      </w:r>
    </w:p>
    <w:p>
      <w:pPr>
        <w:pStyle w:val="Compact"/>
        <w:numPr>
          <w:numId w:val="1002"/>
          <w:ilvl w:val="0"/>
        </w:numPr>
      </w:pPr>
      <w:r>
        <w:t xml:space="preserve">Ville de Vaulx-en-Velin à Vaulx-en-Velin</w:t>
      </w:r>
    </w:p>
    <w:p>
      <w:pPr>
        <w:pStyle w:val="Compact"/>
        <w:numPr>
          <w:numId w:val="1002"/>
          <w:ilvl w:val="0"/>
        </w:numPr>
      </w:pPr>
      <w:r>
        <w:t xml:space="preserve">CCO Jean-Pierre Lachaize à Villeurbanne</w:t>
      </w:r>
    </w:p>
    <w:p>
      <w:pPr>
        <w:pStyle w:val="Compact"/>
        <w:numPr>
          <w:numId w:val="1002"/>
          <w:ilvl w:val="0"/>
        </w:numPr>
      </w:pPr>
      <w:r>
        <w:t xml:space="preserve">Maison de l’Initiative, de l’Engagement, du Troc et de l’Echange (MIETE) à Villeurbanne</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22B Totem (Villeurbanne)</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«Auvergne-Rhône-Alpes» est couverte par le(s) Hub(s) :</w:t>
      </w:r>
      <w:r>
        <w:t xml:space="preserve"> </w:t>
      </w:r>
      <w:r>
        <w:t xml:space="preserve">Hinaura.</w:t>
      </w:r>
    </w:p>
    <w:p>
      <w:pPr>
        <w:pStyle w:val="Titre2"/>
      </w:pPr>
      <w:bookmarkStart w:id="27" w:name="conseillers-numériques"/>
      <w:r>
        <w:t xml:space="preserve">Conseillers numériques</w:t>
      </w:r>
      <w:bookmarkEnd w:id="27"/>
    </w:p>
    <w:p>
      <w:pPr>
        <w:pStyle w:val="Compact"/>
        <w:numPr>
          <w:numId w:val="1004"/>
          <w:ilvl w:val="0"/>
        </w:numPr>
      </w:pPr>
      <w:r>
        <w:t xml:space="preserve">82 CNFS validés dans 56 structures d’accueil</w:t>
      </w:r>
    </w:p>
    <w:p>
      <w:pPr>
        <w:pStyle w:val="Compact"/>
        <w:numPr>
          <w:numId w:val="1004"/>
          <w:ilvl w:val="0"/>
        </w:numPr>
      </w:pPr>
      <w:r>
        <w:t xml:space="preserve">65 CNFS recrutés</w:t>
      </w:r>
    </w:p>
    <w:p>
      <w:pPr>
        <w:pStyle w:val="Compact"/>
        <w:numPr>
          <w:numId w:val="1004"/>
          <w:ilvl w:val="0"/>
        </w:numPr>
      </w:pPr>
      <w:r>
        <w:t xml:space="preserve">0 CNFS en formation</w:t>
      </w:r>
    </w:p>
    <w:p>
      <w:pPr>
        <w:pStyle w:val="Compact"/>
        <w:numPr>
          <w:numId w:val="1004"/>
          <w:ilvl w:val="0"/>
        </w:numPr>
      </w:pPr>
      <w:r>
        <w:t xml:space="preserve">56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91 structures candidates</w:t>
      </w:r>
    </w:p>
    <w:p>
      <w:pPr>
        <w:pStyle w:val="Compact"/>
        <w:numPr>
          <w:numId w:val="1005"/>
          <w:ilvl w:val="0"/>
        </w:numPr>
      </w:pPr>
      <w:r>
        <w:t xml:space="preserve">417 aidants à habiliter au total</w:t>
      </w:r>
    </w:p>
    <w:p>
      <w:pPr>
        <w:pStyle w:val="Compact"/>
        <w:numPr>
          <w:numId w:val="1005"/>
          <w:ilvl w:val="0"/>
        </w:numPr>
      </w:pPr>
      <w:r>
        <w:t xml:space="preserve">83 structures ont finalisé leur habilitation (342 aidants formés au 16 septembre 2024)</w:t>
      </w:r>
    </w:p>
    <w:p>
      <w:pPr>
        <w:pStyle w:val="Titre2"/>
      </w:pPr>
      <w:bookmarkStart w:id="29" w:name="bases-adresses-locales"/>
      <w:r>
        <w:t xml:space="preserve">Bases adresses locales</w:t>
      </w:r>
      <w:bookmarkEnd w:id="29"/>
    </w:p>
    <w:p>
      <w:pPr>
        <w:pStyle w:val="FirstParagraph"/>
      </w:pPr>
      <w:r>
        <w:t xml:space="preserve">241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2024-09-19T02:16:11Z</dcterms:created>
  <dcterms:modified xsi:type="dcterms:W3CDTF">2024-09-19T02:16:11Z</dcterms:modified>
</cp:coreProperties>
</file>

<file path=docProps/custom.xml><?xml version="1.0" encoding="utf-8"?>
<Properties xmlns="http://schemas.openxmlformats.org/officeDocument/2006/custom-properties" xmlns:vt="http://schemas.openxmlformats.org/officeDocument/2006/docPropsVTypes"/>
</file>