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bas-rhin"/>
      <w:r>
        <w:t xml:space="preserve">Numérique «Bas-Rhin»</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 dont 50 dans le</w:t>
      </w:r>
      <w:r>
        <w:t xml:space="preserve"> </w:t>
      </w:r>
      <w:r>
        <w:t xml:space="preserve">département, parmi eux, 37 ont d’ores et déjà été mis en</w:t>
      </w:r>
      <w:r>
        <w:t xml:space="preserve"> </w:t>
      </w:r>
      <w:r>
        <w:t xml:space="preserve">service (sur un total de 392 mis en service au niveau régional).</w:t>
      </w:r>
    </w:p>
    <w:p>
      <w:pPr>
        <w:pStyle w:val="Corpsdetexte"/>
      </w:pPr>
      <w:r>
        <w:t xml:space="preserve">Dans le cadre du dispositif 4G fixe, dans la région</w:t>
      </w:r>
      <w:r>
        <w:t xml:space="preserve"> </w:t>
      </w:r>
      <w:r>
        <w:t xml:space="preserve">«Grand Est», 99 sites ont été identifiés dont 2 dans le</w:t>
      </w:r>
      <w:r>
        <w:t xml:space="preserve"> </w:t>
      </w:r>
      <w:r>
        <w:t xml:space="preserve">département, aucun n’a été mis en service</w:t>
      </w:r>
      <w:r>
        <w:t xml:space="preserve"> </w:t>
      </w:r>
      <w:r>
        <w:t xml:space="preserve">sur 90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67.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4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Altitude sur 8 communes ;</w:t>
      </w:r>
    </w:p>
    <w:p>
      <w:pPr>
        <w:pStyle w:val="Compact"/>
        <w:numPr>
          <w:numId w:val="1001"/>
          <w:ilvl w:val="0"/>
        </w:numPr>
      </w:pPr>
      <w:r>
        <w:t xml:space="preserve">celle de Orange et XP Fibre sur 113 communes ;</w:t>
      </w:r>
    </w:p>
    <w:p>
      <w:pPr>
        <w:pStyle w:val="Compact"/>
        <w:numPr>
          <w:numId w:val="1001"/>
          <w:ilvl w:val="0"/>
        </w:numPr>
      </w:pPr>
      <w:r>
        <w:t xml:space="preserve">celle de CR Grand Est. dans la zone d’initiative publique qui comprend 392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192 609</w:t>
            </w:r>
            <w:r>
              <w:t xml:space="preserve"> </w:t>
            </w:r>
            <w:r>
              <w:rPr>
                <w:i/>
              </w:rPr>
              <w:t xml:space="preserve">27.0%</w:t>
            </w:r>
          </w:p>
        </w:tc>
        <w:tc>
          <w:p>
            <w:pPr>
              <w:pStyle w:val="Compact"/>
              <w:jc w:val="left"/>
            </w:pPr>
            <w:r>
              <w:t xml:space="preserve">172 693</w:t>
            </w:r>
            <w:r>
              <w:t xml:space="preserve"> </w:t>
            </w:r>
            <w:r>
              <w:rPr>
                <w:i/>
              </w:rPr>
              <w:t xml:space="preserve">90.0%</w:t>
            </w:r>
          </w:p>
        </w:tc>
      </w:tr>
      <w:tr>
        <w:tc>
          <w:p>
            <w:pPr>
              <w:pStyle w:val="Compact"/>
              <w:jc w:val="left"/>
            </w:pPr>
            <w:r>
              <w:t xml:space="preserve">Zone AMEL / fonds propres</w:t>
            </w:r>
          </w:p>
        </w:tc>
        <w:tc>
          <w:p>
            <w:pPr>
              <w:pStyle w:val="Compact"/>
              <w:jc w:val="left"/>
            </w:pPr>
            <w:r>
              <w:t xml:space="preserve">11 559</w:t>
            </w:r>
            <w:r>
              <w:t xml:space="preserve"> </w:t>
            </w:r>
            <w:r>
              <w:rPr>
                <w:i/>
              </w:rPr>
              <w:t xml:space="preserve">2.0%</w:t>
            </w:r>
          </w:p>
        </w:tc>
        <w:tc>
          <w:p>
            <w:pPr>
              <w:pStyle w:val="Compact"/>
              <w:jc w:val="left"/>
            </w:pPr>
            <w:r>
              <w:t xml:space="preserve">10 811</w:t>
            </w:r>
            <w:r>
              <w:t xml:space="preserve"> </w:t>
            </w:r>
            <w:r>
              <w:rPr>
                <w:i/>
              </w:rPr>
              <w:t xml:space="preserve">94.0%</w:t>
            </w:r>
          </w:p>
        </w:tc>
      </w:tr>
      <w:tr>
        <w:tc>
          <w:p>
            <w:pPr>
              <w:pStyle w:val="Compact"/>
              <w:jc w:val="left"/>
            </w:pPr>
            <w:r>
              <w:t xml:space="preserve">Zone AMII</w:t>
            </w:r>
          </w:p>
        </w:tc>
        <w:tc>
          <w:p>
            <w:pPr>
              <w:pStyle w:val="Compact"/>
              <w:jc w:val="left"/>
            </w:pPr>
            <w:r>
              <w:t xml:space="preserve">262 003</w:t>
            </w:r>
            <w:r>
              <w:t xml:space="preserve"> </w:t>
            </w:r>
            <w:r>
              <w:rPr>
                <w:i/>
              </w:rPr>
              <w:t xml:space="preserve">37.0%</w:t>
            </w:r>
          </w:p>
        </w:tc>
        <w:tc>
          <w:p>
            <w:pPr>
              <w:pStyle w:val="Compact"/>
              <w:jc w:val="left"/>
            </w:pPr>
            <w:r>
              <w:t xml:space="preserve">244 380</w:t>
            </w:r>
            <w:r>
              <w:t xml:space="preserve"> </w:t>
            </w:r>
            <w:r>
              <w:rPr>
                <w:i/>
              </w:rPr>
              <w:t xml:space="preserve">93.0%</w:t>
            </w:r>
          </w:p>
        </w:tc>
      </w:tr>
      <w:tr>
        <w:tc>
          <w:p>
            <w:pPr>
              <w:pStyle w:val="Compact"/>
              <w:jc w:val="left"/>
            </w:pPr>
            <w:r>
              <w:t xml:space="preserve">Zone RIP</w:t>
            </w:r>
          </w:p>
        </w:tc>
        <w:tc>
          <w:p>
            <w:pPr>
              <w:pStyle w:val="Compact"/>
              <w:jc w:val="left"/>
            </w:pPr>
            <w:r>
              <w:t xml:space="preserve">246 797</w:t>
            </w:r>
            <w:r>
              <w:t xml:space="preserve"> </w:t>
            </w:r>
            <w:r>
              <w:rPr>
                <w:i/>
              </w:rPr>
              <w:t xml:space="preserve">35.0%</w:t>
            </w:r>
          </w:p>
        </w:tc>
        <w:tc>
          <w:p>
            <w:pPr>
              <w:pStyle w:val="Compact"/>
              <w:jc w:val="left"/>
            </w:pPr>
            <w:r>
              <w:t xml:space="preserve">226 605</w:t>
            </w:r>
            <w:r>
              <w:t xml:space="preserve"> </w:t>
            </w:r>
            <w:r>
              <w:rPr>
                <w:i/>
              </w:rPr>
              <w:t xml:space="preserve">92.0%</w:t>
            </w:r>
          </w:p>
        </w:tc>
      </w:tr>
      <w:tr>
        <w:tc>
          <w:p>
            <w:pPr>
              <w:pStyle w:val="Compact"/>
              <w:jc w:val="left"/>
            </w:pPr>
            <w:r>
              <w:rPr>
                <w:b/>
              </w:rPr>
              <w:t xml:space="preserve">Total</w:t>
            </w:r>
          </w:p>
        </w:tc>
        <w:tc>
          <w:p>
            <w:pPr>
              <w:pStyle w:val="Compact"/>
              <w:jc w:val="left"/>
            </w:pPr>
            <w:r>
              <w:t xml:space="preserve">712 968</w:t>
            </w:r>
            <w:r>
              <w:t xml:space="preserve"> </w:t>
            </w:r>
            <w:r>
              <w:rPr>
                <w:i/>
              </w:rPr>
              <w:t xml:space="preserve">100%</w:t>
            </w:r>
          </w:p>
        </w:tc>
        <w:tc>
          <w:p>
            <w:pPr>
              <w:pStyle w:val="Compact"/>
              <w:jc w:val="left"/>
            </w:pPr>
            <w:r>
              <w:t xml:space="preserve">654 489</w:t>
            </w:r>
            <w:r>
              <w:t xml:space="preserve"> </w:t>
            </w:r>
            <w:r>
              <w:rPr>
                <w:i/>
              </w:rPr>
              <w:t xml:space="preserve">92.0%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«Grand Est» et 4 dans le département :</w:t>
      </w:r>
    </w:p>
    <w:p>
      <w:pPr>
        <w:pStyle w:val="Compact"/>
        <w:numPr>
          <w:numId w:val="1002"/>
          <w:ilvl w:val="0"/>
        </w:numPr>
      </w:pPr>
      <w:r>
        <w:t xml:space="preserve">Consortium TIX à Bischwiller</w:t>
      </w:r>
    </w:p>
    <w:p>
      <w:pPr>
        <w:pStyle w:val="Compact"/>
        <w:numPr>
          <w:numId w:val="1002"/>
          <w:ilvl w:val="0"/>
        </w:numPr>
      </w:pPr>
      <w:r>
        <w:t xml:space="preserve">La CabAnne des Créateurs à Schiltigheim</w:t>
      </w:r>
    </w:p>
    <w:p>
      <w:pPr>
        <w:pStyle w:val="Compact"/>
        <w:numPr>
          <w:numId w:val="1002"/>
          <w:ilvl w:val="0"/>
        </w:numPr>
      </w:pPr>
      <w:r>
        <w:t xml:space="preserve">ARTEFACT PRL à Strasbourg</w:t>
      </w:r>
    </w:p>
    <w:p>
      <w:pPr>
        <w:pStyle w:val="Compact"/>
        <w:numPr>
          <w:numId w:val="1002"/>
          <w:ilvl w:val="0"/>
        </w:numPr>
      </w:pPr>
      <w:r>
        <w:t xml:space="preserve">Centre Social et Culturel du Neuhof à Strasbourg</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«Grand Est» est couverte par le(s) Hub(s) :</w:t>
      </w:r>
      <w:r>
        <w:t xml:space="preserve"> </w:t>
      </w:r>
      <w:r>
        <w:t xml:space="preserve">Grand Est.</w:t>
      </w:r>
    </w:p>
    <w:p>
      <w:pPr>
        <w:pStyle w:val="Titre2"/>
      </w:pPr>
      <w:bookmarkStart w:id="27" w:name="conseillers-numériques"/>
      <w:r>
        <w:t xml:space="preserve">Conseillers numériques</w:t>
      </w:r>
      <w:bookmarkEnd w:id="27"/>
    </w:p>
    <w:p>
      <w:pPr>
        <w:pStyle w:val="Compact"/>
        <w:numPr>
          <w:numId w:val="1003"/>
          <w:ilvl w:val="0"/>
        </w:numPr>
      </w:pPr>
      <w:r>
        <w:t xml:space="preserve">37 CNFS validés dans 28 structures d’accueil</w:t>
      </w:r>
    </w:p>
    <w:p>
      <w:pPr>
        <w:pStyle w:val="Compact"/>
        <w:numPr>
          <w:numId w:val="1003"/>
          <w:ilvl w:val="0"/>
        </w:numPr>
      </w:pPr>
      <w:r>
        <w:t xml:space="preserve">27 CNFS recrutés</w:t>
      </w:r>
    </w:p>
    <w:p>
      <w:pPr>
        <w:pStyle w:val="Compact"/>
        <w:numPr>
          <w:numId w:val="1003"/>
          <w:ilvl w:val="0"/>
        </w:numPr>
      </w:pPr>
      <w:r>
        <w:t xml:space="preserve">1 CNFS en formation</w:t>
      </w:r>
    </w:p>
    <w:p>
      <w:pPr>
        <w:pStyle w:val="Compact"/>
        <w:numPr>
          <w:numId w:val="1003"/>
          <w:ilvl w:val="0"/>
        </w:numPr>
      </w:pPr>
      <w:r>
        <w:t xml:space="preserve">20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43 structures candidates</w:t>
      </w:r>
    </w:p>
    <w:p>
      <w:pPr>
        <w:pStyle w:val="Compact"/>
        <w:numPr>
          <w:numId w:val="1004"/>
          <w:ilvl w:val="0"/>
        </w:numPr>
      </w:pPr>
      <w:r>
        <w:t xml:space="preserve">160 aidants à habiliter au total</w:t>
      </w:r>
    </w:p>
    <w:p>
      <w:pPr>
        <w:pStyle w:val="Compact"/>
        <w:numPr>
          <w:numId w:val="1004"/>
          <w:ilvl w:val="0"/>
        </w:numPr>
      </w:pPr>
      <w:r>
        <w:t xml:space="preserve">41 structures ont finalisé leur habilitation (132 aidants formés au 16 septembre 2024)</w:t>
      </w:r>
    </w:p>
    <w:p>
      <w:pPr>
        <w:pStyle w:val="Titre2"/>
      </w:pPr>
      <w:bookmarkStart w:id="29" w:name="bases-adresses-locales"/>
      <w:r>
        <w:t xml:space="preserve">Bases adresses locales</w:t>
      </w:r>
      <w:bookmarkEnd w:id="29"/>
    </w:p>
    <w:p>
      <w:pPr>
        <w:pStyle w:val="FirstParagraph"/>
      </w:pPr>
      <w:r>
        <w:t xml:space="preserve">284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2024-09-19T02:16:08Z</dcterms:created>
  <dcterms:modified xsi:type="dcterms:W3CDTF">2024-09-19T02:16:08Z</dcterms:modified>
</cp:coreProperties>
</file>

<file path=docProps/custom.xml><?xml version="1.0" encoding="utf-8"?>
<Properties xmlns="http://schemas.openxmlformats.org/officeDocument/2006/custom-properties" xmlns:vt="http://schemas.openxmlformats.org/officeDocument/2006/docPropsVTypes"/>
</file>