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pyrénées-orientales"/>
      <w:r>
        <w:t xml:space="preserve">Numérique «Pyrénées-Orientales»</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«Occitanie», 883 sites ont été identifiés dont 67 dans le</w:t>
      </w:r>
      <w:r>
        <w:t xml:space="preserve"> </w:t>
      </w:r>
      <w:r>
        <w:t xml:space="preserve">département, parmi eux, 21 ont d’ores et déjà été mis en</w:t>
      </w:r>
      <w:r>
        <w:t xml:space="preserve"> </w:t>
      </w:r>
      <w:r>
        <w:t xml:space="preserve">service (sur un total de 523 mis en service au niveau régional).</w:t>
      </w:r>
    </w:p>
    <w:p>
      <w:pPr>
        <w:pStyle w:val="Corpsdetexte"/>
      </w:pPr>
      <w:r>
        <w:t xml:space="preserve">Dans le cadre du dispositif 4G fixe, dans la région</w:t>
      </w:r>
      <w:r>
        <w:t xml:space="preserve"> </w:t>
      </w:r>
      <w:r>
        <w:t xml:space="preserve">«Occitanie», 57 sites ont été identifiés dont 5 dans le</w:t>
      </w:r>
      <w:r>
        <w:t xml:space="preserve"> </w:t>
      </w:r>
      <w:r>
        <w:t xml:space="preserve">département, 4 ont déjà été mis en service</w:t>
      </w:r>
      <w:r>
        <w:t xml:space="preserve"> </w:t>
      </w:r>
      <w:r>
        <w:t xml:space="preserve">sur 39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331267"/>
            <wp:effectExtent b="0" l="0" r="0" t="0"/>
            <wp:docPr descr="" title="" id="1" name="Picture"/>
            <a:graphic>
              <a:graphicData uri="http://schemas.openxmlformats.org/drawingml/2006/picture">
                <pic:pic>
                  <pic:nvPicPr>
                    <pic:cNvPr descr="/srv/insitu/outbox/infographies/haut_débit/66.png" id="0" name="Picture"/>
                    <pic:cNvPicPr>
                      <a:picLocks noChangeArrowheads="1" noChangeAspect="1"/>
                    </pic:cNvPicPr>
                  </pic:nvPicPr>
                  <pic:blipFill>
                    <a:blip r:embed="rId23"/>
                    <a:stretch>
                      <a:fillRect/>
                    </a:stretch>
                  </pic:blipFill>
                  <pic:spPr bwMode="auto">
                    <a:xfrm>
                      <a:off x="0" y="0"/>
                      <a:ext cx="4572000" cy="2331267"/>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36 communes ;</w:t>
      </w:r>
    </w:p>
    <w:p>
      <w:pPr>
        <w:pStyle w:val="Compact"/>
        <w:numPr>
          <w:numId w:val="1001"/>
          <w:ilvl w:val="0"/>
        </w:numPr>
      </w:pPr>
      <w:r>
        <w:t xml:space="preserve">celle de CD Pyrénées-Orientales dans la zone d’initiative publique qui comprend 190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207 895</w:t>
            </w:r>
            <w:r>
              <w:t xml:space="preserve"> </w:t>
            </w:r>
            <w:r>
              <w:rPr>
                <w:i/>
              </w:rPr>
              <w:t xml:space="preserve">50.0%</w:t>
            </w:r>
          </w:p>
        </w:tc>
        <w:tc>
          <w:p>
            <w:pPr>
              <w:pStyle w:val="Compact"/>
              <w:jc w:val="left"/>
            </w:pPr>
            <w:r>
              <w:t xml:space="preserve">185 529</w:t>
            </w:r>
            <w:r>
              <w:t xml:space="preserve"> </w:t>
            </w:r>
            <w:r>
              <w:rPr>
                <w:i/>
              </w:rPr>
              <w:t xml:space="preserve">89.0%</w:t>
            </w:r>
          </w:p>
        </w:tc>
      </w:tr>
      <w:tr>
        <w:tc>
          <w:p>
            <w:pPr>
              <w:pStyle w:val="Compact"/>
              <w:jc w:val="left"/>
            </w:pPr>
            <w:r>
              <w:t xml:space="preserve">Zone RIP</w:t>
            </w:r>
          </w:p>
        </w:tc>
        <w:tc>
          <w:p>
            <w:pPr>
              <w:pStyle w:val="Compact"/>
              <w:jc w:val="left"/>
            </w:pPr>
            <w:r>
              <w:t xml:space="preserve">211 263</w:t>
            </w:r>
            <w:r>
              <w:t xml:space="preserve"> </w:t>
            </w:r>
            <w:r>
              <w:rPr>
                <w:i/>
              </w:rPr>
              <w:t xml:space="preserve">50.0%</w:t>
            </w:r>
          </w:p>
        </w:tc>
        <w:tc>
          <w:p>
            <w:pPr>
              <w:pStyle w:val="Compact"/>
              <w:jc w:val="left"/>
            </w:pPr>
            <w:r>
              <w:t xml:space="preserve">168 970</w:t>
            </w:r>
            <w:r>
              <w:t xml:space="preserve"> </w:t>
            </w:r>
            <w:r>
              <w:rPr>
                <w:i/>
              </w:rPr>
              <w:t xml:space="preserve">80.0%</w:t>
            </w:r>
          </w:p>
        </w:tc>
      </w:tr>
      <w:tr>
        <w:tc>
          <w:p>
            <w:pPr>
              <w:pStyle w:val="Compact"/>
              <w:jc w:val="left"/>
            </w:pPr>
            <w:r>
              <w:rPr>
                <w:b/>
              </w:rPr>
              <w:t xml:space="preserve">Total</w:t>
            </w:r>
          </w:p>
        </w:tc>
        <w:tc>
          <w:p>
            <w:pPr>
              <w:pStyle w:val="Compact"/>
              <w:jc w:val="left"/>
            </w:pPr>
            <w:r>
              <w:t xml:space="preserve">419 158</w:t>
            </w:r>
            <w:r>
              <w:t xml:space="preserve"> </w:t>
            </w:r>
            <w:r>
              <w:rPr>
                <w:i/>
              </w:rPr>
              <w:t xml:space="preserve">100%</w:t>
            </w:r>
          </w:p>
        </w:tc>
        <w:tc>
          <w:p>
            <w:pPr>
              <w:pStyle w:val="Compact"/>
              <w:jc w:val="left"/>
            </w:pPr>
            <w:r>
              <w:t xml:space="preserve">354 499</w:t>
            </w:r>
            <w:r>
              <w:t xml:space="preserve"> </w:t>
            </w:r>
            <w:r>
              <w:rPr>
                <w:i/>
              </w:rPr>
              <w:t xml:space="preserve">85.0%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33 en région «Occitanie» et 2 dans le département :</w:t>
      </w:r>
    </w:p>
    <w:p>
      <w:pPr>
        <w:pStyle w:val="Compact"/>
        <w:numPr>
          <w:numId w:val="1002"/>
          <w:ilvl w:val="0"/>
        </w:numPr>
      </w:pPr>
      <w:r>
        <w:t xml:space="preserve">Association ESSAIM</w:t>
      </w:r>
    </w:p>
    <w:p>
      <w:pPr>
        <w:pStyle w:val="FirstParagraph"/>
      </w:pPr>
      <w:r>
        <w:t xml:space="preserve">Consortium La Fabrique Catalane - Benvingut social club à Perpignan</w:t>
      </w:r>
      <w:r>
        <w:t xml:space="preserve"> </w:t>
      </w:r>
      <w:r>
        <w:t xml:space="preserve">* Association les 2 rives à Perpignan</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«Occitanie» est couverte par le(s) Hub(s) :</w:t>
      </w:r>
      <w:r>
        <w:t xml:space="preserve"> </w:t>
      </w:r>
      <w:r>
        <w:t xml:space="preserve">RhinOcc.</w:t>
      </w:r>
    </w:p>
    <w:p>
      <w:pPr>
        <w:pStyle w:val="Titre2"/>
      </w:pPr>
      <w:bookmarkStart w:id="27" w:name="conseillers-numériques"/>
      <w:r>
        <w:t xml:space="preserve">Conseillers numériques</w:t>
      </w:r>
      <w:bookmarkEnd w:id="27"/>
    </w:p>
    <w:p>
      <w:pPr>
        <w:pStyle w:val="Compact"/>
        <w:numPr>
          <w:numId w:val="1003"/>
          <w:ilvl w:val="0"/>
        </w:numPr>
      </w:pPr>
      <w:r>
        <w:t xml:space="preserve">46 CNFS validés dans 30 structures d’accueil</w:t>
      </w:r>
    </w:p>
    <w:p>
      <w:pPr>
        <w:pStyle w:val="Compact"/>
        <w:numPr>
          <w:numId w:val="1003"/>
          <w:ilvl w:val="0"/>
        </w:numPr>
      </w:pPr>
      <w:r>
        <w:t xml:space="preserve">39 CNFS recrutés</w:t>
      </w:r>
    </w:p>
    <w:p>
      <w:pPr>
        <w:pStyle w:val="Compact"/>
        <w:numPr>
          <w:numId w:val="1003"/>
          <w:ilvl w:val="0"/>
        </w:numPr>
      </w:pPr>
      <w:r>
        <w:t xml:space="preserve">0 CNFS en formation</w:t>
      </w:r>
    </w:p>
    <w:p>
      <w:pPr>
        <w:pStyle w:val="Compact"/>
        <w:numPr>
          <w:numId w:val="1003"/>
          <w:ilvl w:val="0"/>
        </w:numPr>
      </w:pPr>
      <w:r>
        <w:t xml:space="preserve">32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42 structures candidates</w:t>
      </w:r>
    </w:p>
    <w:p>
      <w:pPr>
        <w:pStyle w:val="Compact"/>
        <w:numPr>
          <w:numId w:val="1004"/>
          <w:ilvl w:val="0"/>
        </w:numPr>
      </w:pPr>
      <w:r>
        <w:t xml:space="preserve">161 aidants à habiliter au total</w:t>
      </w:r>
    </w:p>
    <w:p>
      <w:pPr>
        <w:pStyle w:val="Compact"/>
        <w:numPr>
          <w:numId w:val="1004"/>
          <w:ilvl w:val="0"/>
        </w:numPr>
      </w:pPr>
      <w:r>
        <w:t xml:space="preserve">39 structures ont finalisé leur habilitation (122 aidants formés au 16 septembre 2024)</w:t>
      </w:r>
    </w:p>
    <w:p>
      <w:pPr>
        <w:pStyle w:val="Titre2"/>
      </w:pPr>
      <w:bookmarkStart w:id="29" w:name="bases-adresses-locales"/>
      <w:r>
        <w:t xml:space="preserve">Bases adresses locales</w:t>
      </w:r>
      <w:bookmarkEnd w:id="29"/>
    </w:p>
    <w:p>
      <w:pPr>
        <w:pStyle w:val="FirstParagraph"/>
      </w:pPr>
      <w:r>
        <w:t xml:space="preserve">115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04:16.</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2024-09-19T02:16:05Z</dcterms:created>
  <dcterms:modified xsi:type="dcterms:W3CDTF">2024-09-19T02:16:05Z</dcterms:modified>
</cp:coreProperties>
</file>

<file path=docProps/custom.xml><?xml version="1.0" encoding="utf-8"?>
<Properties xmlns="http://schemas.openxmlformats.org/officeDocument/2006/custom-properties" xmlns:vt="http://schemas.openxmlformats.org/officeDocument/2006/docPropsVTypes"/>
</file>