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s-pyrénées"/>
      <w:r>
        <w:t xml:space="preserve">Numérique «Hautes-Pyrénées»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53 dans le</w:t>
      </w:r>
      <w:r>
        <w:t xml:space="preserve"> </w:t>
      </w:r>
      <w:r>
        <w:t xml:space="preserve">département, parmi eux, 22 ont d’ores et déjà été mis en</w:t>
      </w:r>
      <w:r>
        <w:t xml:space="preserve"> </w:t>
      </w:r>
      <w:r>
        <w:t xml:space="preserve">service (sur un total de 523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9956"/>
            <wp:effectExtent b="0" l="0" r="0" t="0"/>
            <wp:docPr descr="" title="" id="1" name="Picture"/>
            <a:graphic>
              <a:graphicData uri="http://schemas.openxmlformats.org/drawingml/2006/picture">
                <pic:pic>
                  <pic:nvPicPr>
                    <pic:cNvPr descr="/srv/insitu/outbox/infographies/haut_débit/65.png" id="0" name="Picture"/>
                    <pic:cNvPicPr>
                      <a:picLocks noChangeArrowheads="1" noChangeAspect="1"/>
                    </pic:cNvPicPr>
                  </pic:nvPicPr>
                  <pic:blipFill>
                    <a:blip r:embed="rId23"/>
                    <a:stretch>
                      <a:fillRect/>
                    </a:stretch>
                  </pic:blipFill>
                  <pic:spPr bwMode="auto">
                    <a:xfrm>
                      <a:off x="0" y="0"/>
                      <a:ext cx="4572000" cy="2299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456 communes ;</w:t>
      </w:r>
    </w:p>
    <w:p>
      <w:pPr>
        <w:pStyle w:val="Compact"/>
        <w:numPr>
          <w:numId w:val="1001"/>
          <w:ilvl w:val="0"/>
        </w:numPr>
      </w:pPr>
      <w:r>
        <w:t xml:space="preserve">celle de Orange sur 13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120 046</w:t>
            </w:r>
            <w:r>
              <w:t xml:space="preserve"> </w:t>
            </w:r>
            <w:r>
              <w:rPr>
                <w:i/>
              </w:rPr>
              <w:t xml:space="preserve">64.0%</w:t>
            </w:r>
          </w:p>
        </w:tc>
        <w:tc>
          <w:p>
            <w:pPr>
              <w:pStyle w:val="Compact"/>
              <w:jc w:val="left"/>
            </w:pPr>
            <w:r>
              <w:t xml:space="preserve">98 787</w:t>
            </w:r>
            <w:r>
              <w:t xml:space="preserve"> </w:t>
            </w:r>
            <w:r>
              <w:rPr>
                <w:i/>
              </w:rPr>
              <w:t xml:space="preserve">82.0%</w:t>
            </w:r>
          </w:p>
        </w:tc>
      </w:tr>
      <w:tr>
        <w:tc>
          <w:p>
            <w:pPr>
              <w:pStyle w:val="Compact"/>
              <w:jc w:val="left"/>
            </w:pPr>
            <w:r>
              <w:t xml:space="preserve">Zone AMII</w:t>
            </w:r>
          </w:p>
        </w:tc>
        <w:tc>
          <w:p>
            <w:pPr>
              <w:pStyle w:val="Compact"/>
              <w:jc w:val="left"/>
            </w:pPr>
            <w:r>
              <w:t xml:space="preserve">67 562</w:t>
            </w:r>
            <w:r>
              <w:t xml:space="preserve"> </w:t>
            </w:r>
            <w:r>
              <w:rPr>
                <w:i/>
              </w:rPr>
              <w:t xml:space="preserve">36.0%</w:t>
            </w:r>
          </w:p>
        </w:tc>
        <w:tc>
          <w:p>
            <w:pPr>
              <w:pStyle w:val="Compact"/>
              <w:jc w:val="left"/>
            </w:pPr>
            <w:r>
              <w:t xml:space="preserve">61 685</w:t>
            </w:r>
            <w:r>
              <w:t xml:space="preserve"> </w:t>
            </w:r>
            <w:r>
              <w:rPr>
                <w:i/>
              </w:rPr>
              <w:t xml:space="preserve">91.0%</w:t>
            </w:r>
          </w:p>
        </w:tc>
      </w:tr>
      <w:tr>
        <w:tc>
          <w:p>
            <w:pPr>
              <w:pStyle w:val="Compact"/>
              <w:jc w:val="left"/>
            </w:pPr>
            <w:r>
              <w:rPr>
                <w:b/>
              </w:rPr>
              <w:t xml:space="preserve">Total</w:t>
            </w:r>
          </w:p>
        </w:tc>
        <w:tc>
          <w:p>
            <w:pPr>
              <w:pStyle w:val="Compact"/>
              <w:jc w:val="left"/>
            </w:pPr>
            <w:r>
              <w:t xml:space="preserve">187 608</w:t>
            </w:r>
            <w:r>
              <w:t xml:space="preserve"> </w:t>
            </w:r>
            <w:r>
              <w:rPr>
                <w:i/>
              </w:rPr>
              <w:t xml:space="preserve">100%</w:t>
            </w:r>
          </w:p>
        </w:tc>
        <w:tc>
          <w:p>
            <w:pPr>
              <w:pStyle w:val="Compact"/>
              <w:jc w:val="left"/>
            </w:pPr>
            <w:r>
              <w:t xml:space="preserve">160 472</w:t>
            </w:r>
            <w:r>
              <w:t xml:space="preserve"> </w:t>
            </w:r>
            <w:r>
              <w:rPr>
                <w:i/>
              </w:rPr>
              <w:t xml:space="preserve">86.0%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1 dans le département :</w:t>
      </w:r>
    </w:p>
    <w:p>
      <w:pPr>
        <w:pStyle w:val="Compact"/>
        <w:numPr>
          <w:numId w:val="1002"/>
          <w:ilvl w:val="0"/>
        </w:numPr>
      </w:pPr>
      <w:r>
        <w:t xml:space="preserve">Communauté de Communes Neste Barousse à Saint-Laurent-de-Neste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 manufacture de Lourdes (Lourdes)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26 CNFS validés dans 20 structures d’accueil</w:t>
      </w:r>
    </w:p>
    <w:p>
      <w:pPr>
        <w:pStyle w:val="Compact"/>
        <w:numPr>
          <w:numId w:val="1004"/>
          <w:ilvl w:val="0"/>
        </w:numPr>
      </w:pPr>
      <w:r>
        <w:t xml:space="preserve">25 CNFS recrutés</w:t>
      </w:r>
    </w:p>
    <w:p>
      <w:pPr>
        <w:pStyle w:val="Compact"/>
        <w:numPr>
          <w:numId w:val="1004"/>
          <w:ilvl w:val="0"/>
        </w:numPr>
      </w:pPr>
      <w:r>
        <w:t xml:space="preserve">1 CNFS en formation</w:t>
      </w:r>
    </w:p>
    <w:p>
      <w:pPr>
        <w:pStyle w:val="Compact"/>
        <w:numPr>
          <w:numId w:val="1004"/>
          <w:ilvl w:val="0"/>
        </w:numPr>
      </w:pPr>
      <w:r>
        <w:t xml:space="preserve">17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24 structures candidates</w:t>
      </w:r>
    </w:p>
    <w:p>
      <w:pPr>
        <w:pStyle w:val="Compact"/>
        <w:numPr>
          <w:numId w:val="1005"/>
          <w:ilvl w:val="0"/>
        </w:numPr>
      </w:pPr>
      <w:r>
        <w:t xml:space="preserve">53 aidants à habiliter au total</w:t>
      </w:r>
    </w:p>
    <w:p>
      <w:pPr>
        <w:pStyle w:val="Compact"/>
        <w:numPr>
          <w:numId w:val="1005"/>
          <w:ilvl w:val="0"/>
        </w:numPr>
      </w:pPr>
      <w:r>
        <w:t xml:space="preserve">23 structures ont finalisé leur habilitation (58 aidants formés au 16 septembre 2024)</w:t>
      </w:r>
    </w:p>
    <w:p>
      <w:pPr>
        <w:pStyle w:val="Titre2"/>
      </w:pPr>
      <w:bookmarkStart w:id="29" w:name="bases-adresses-locales"/>
      <w:r>
        <w:t xml:space="preserve">Bases adresses locales</w:t>
      </w:r>
      <w:bookmarkEnd w:id="29"/>
    </w:p>
    <w:p>
      <w:pPr>
        <w:pStyle w:val="FirstParagraph"/>
      </w:pPr>
      <w:r>
        <w:t xml:space="preserve">249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2024-09-19T02:16:04Z</dcterms:created>
  <dcterms:modified xsi:type="dcterms:W3CDTF">2024-09-19T02:16:04Z</dcterms:modified>
</cp:coreProperties>
</file>

<file path=docProps/custom.xml><?xml version="1.0" encoding="utf-8"?>
<Properties xmlns="http://schemas.openxmlformats.org/officeDocument/2006/custom-properties" xmlns:vt="http://schemas.openxmlformats.org/officeDocument/2006/docPropsVTypes"/>
</file>