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pyrénées-atlantiques"/>
      <w:r>
        <w:t xml:space="preserve">Numérique «Pyrénées-Atlantiques»</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«Nouvelle-Aquitaine», 536 sites ont été identifiés dont 72 dans le</w:t>
      </w:r>
      <w:r>
        <w:t xml:space="preserve"> </w:t>
      </w:r>
      <w:r>
        <w:t xml:space="preserve">département, parmi eux, 47 ont d’ores et déjà été mis en</w:t>
      </w:r>
      <w:r>
        <w:t xml:space="preserve"> </w:t>
      </w:r>
      <w:r>
        <w:t xml:space="preserve">service (sur un total de 350 mis en service au niveau régional).</w:t>
      </w:r>
    </w:p>
    <w:p>
      <w:pPr>
        <w:pStyle w:val="Corpsdetexte"/>
      </w:pPr>
      <w:r>
        <w:t xml:space="preserve">Dans le cadre du dispositif 4G fixe, dans la région</w:t>
      </w:r>
      <w:r>
        <w:t xml:space="preserve"> </w:t>
      </w:r>
      <w:r>
        <w:t xml:space="preserve">«Nouvelle-Aquitaine», 239 sites ont été identifiés dont 21 dans le</w:t>
      </w:r>
      <w:r>
        <w:t xml:space="preserve"> </w:t>
      </w:r>
      <w:r>
        <w:t xml:space="preserve">département, 11 ont déjà été mis en service</w:t>
      </w:r>
      <w:r>
        <w:t xml:space="preserve"> </w:t>
      </w:r>
      <w:r>
        <w:t xml:space="preserve">sur 172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283229"/>
            <wp:effectExtent b="0" l="0" r="0" t="0"/>
            <wp:docPr descr="" title="" id="1" name="Picture"/>
            <a:graphic>
              <a:graphicData uri="http://schemas.openxmlformats.org/drawingml/2006/picture">
                <pic:pic>
                  <pic:nvPicPr>
                    <pic:cNvPr descr="/srv/insitu/outbox/infographies/haut_débit/64.png" id="0" name="Picture"/>
                    <pic:cNvPicPr>
                      <a:picLocks noChangeArrowheads="1" noChangeAspect="1"/>
                    </pic:cNvPicPr>
                  </pic:nvPicPr>
                  <pic:blipFill>
                    <a:blip r:embed="rId23"/>
                    <a:stretch>
                      <a:fillRect/>
                    </a:stretch>
                  </pic:blipFill>
                  <pic:spPr bwMode="auto">
                    <a:xfrm>
                      <a:off x="0" y="0"/>
                      <a:ext cx="4572000" cy="2283229"/>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2 initiatives complémentaires :</w:t>
      </w:r>
    </w:p>
    <w:p>
      <w:pPr>
        <w:pStyle w:val="Compact"/>
        <w:numPr>
          <w:numId w:val="1001"/>
          <w:ilvl w:val="0"/>
        </w:numPr>
      </w:pPr>
      <w:r>
        <w:t xml:space="preserve">celle de Orange sur 7 communes ;</w:t>
      </w:r>
    </w:p>
    <w:p>
      <w:pPr>
        <w:pStyle w:val="Compact"/>
        <w:numPr>
          <w:numId w:val="1001"/>
          <w:ilvl w:val="0"/>
        </w:numPr>
      </w:pPr>
      <w:r>
        <w:t xml:space="preserve">celle de La Fibre64 et Pau Broadband Country dans la zone d’initiative publique qui comprend 538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AMII</w:t>
            </w:r>
          </w:p>
        </w:tc>
        <w:tc>
          <w:p>
            <w:pPr>
              <w:pStyle w:val="Compact"/>
              <w:jc w:val="left"/>
            </w:pPr>
            <w:r>
              <w:t xml:space="preserve">147 083</w:t>
            </w:r>
            <w:r>
              <w:t xml:space="preserve"> </w:t>
            </w:r>
            <w:r>
              <w:rPr>
                <w:i/>
              </w:rPr>
              <w:t xml:space="preserve">29.0%</w:t>
            </w:r>
          </w:p>
        </w:tc>
        <w:tc>
          <w:p>
            <w:pPr>
              <w:pStyle w:val="Compact"/>
              <w:jc w:val="left"/>
            </w:pPr>
            <w:r>
              <w:t xml:space="preserve">134 036</w:t>
            </w:r>
            <w:r>
              <w:t xml:space="preserve"> </w:t>
            </w:r>
            <w:r>
              <w:rPr>
                <w:i/>
              </w:rPr>
              <w:t xml:space="preserve">91.0%</w:t>
            </w:r>
          </w:p>
        </w:tc>
      </w:tr>
      <w:tr>
        <w:tc>
          <w:p>
            <w:pPr>
              <w:pStyle w:val="Compact"/>
              <w:jc w:val="left"/>
            </w:pPr>
            <w:r>
              <w:t xml:space="preserve">Zone RIP</w:t>
            </w:r>
          </w:p>
        </w:tc>
        <w:tc>
          <w:p>
            <w:pPr>
              <w:pStyle w:val="Compact"/>
              <w:jc w:val="left"/>
            </w:pPr>
            <w:r>
              <w:t xml:space="preserve">362 936</w:t>
            </w:r>
            <w:r>
              <w:t xml:space="preserve"> </w:t>
            </w:r>
            <w:r>
              <w:rPr>
                <w:i/>
              </w:rPr>
              <w:t xml:space="preserve">71.0%</w:t>
            </w:r>
          </w:p>
        </w:tc>
        <w:tc>
          <w:p>
            <w:pPr>
              <w:pStyle w:val="Compact"/>
              <w:jc w:val="left"/>
            </w:pPr>
            <w:r>
              <w:t xml:space="preserve">316 477</w:t>
            </w:r>
            <w:r>
              <w:t xml:space="preserve"> </w:t>
            </w:r>
            <w:r>
              <w:rPr>
                <w:i/>
              </w:rPr>
              <w:t xml:space="preserve">87.0%</w:t>
            </w:r>
          </w:p>
        </w:tc>
      </w:tr>
      <w:tr>
        <w:tc>
          <w:p>
            <w:pPr>
              <w:pStyle w:val="Compact"/>
              <w:jc w:val="left"/>
            </w:pPr>
            <w:r>
              <w:rPr>
                <w:b/>
              </w:rPr>
              <w:t xml:space="preserve">Total</w:t>
            </w:r>
          </w:p>
        </w:tc>
        <w:tc>
          <w:p>
            <w:pPr>
              <w:pStyle w:val="Compact"/>
              <w:jc w:val="left"/>
            </w:pPr>
            <w:r>
              <w:t xml:space="preserve">510 019</w:t>
            </w:r>
            <w:r>
              <w:t xml:space="preserve"> </w:t>
            </w:r>
            <w:r>
              <w:rPr>
                <w:i/>
              </w:rPr>
              <w:t xml:space="preserve">100%</w:t>
            </w:r>
          </w:p>
        </w:tc>
        <w:tc>
          <w:p>
            <w:pPr>
              <w:pStyle w:val="Compact"/>
              <w:jc w:val="left"/>
            </w:pPr>
            <w:r>
              <w:t xml:space="preserve">450 513</w:t>
            </w:r>
            <w:r>
              <w:t xml:space="preserve"> </w:t>
            </w:r>
            <w:r>
              <w:rPr>
                <w:i/>
              </w:rPr>
              <w:t xml:space="preserve">88.0%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30 en région «Nouvelle-Aquitaine» et 3 dans le département :</w:t>
      </w:r>
    </w:p>
    <w:p>
      <w:pPr>
        <w:pStyle w:val="Compact"/>
        <w:numPr>
          <w:numId w:val="1002"/>
          <w:ilvl w:val="0"/>
        </w:numPr>
      </w:pPr>
      <w:r>
        <w:t xml:space="preserve">Borderline Fabrika à Hendaye</w:t>
      </w:r>
    </w:p>
    <w:p>
      <w:pPr>
        <w:pStyle w:val="Compact"/>
        <w:numPr>
          <w:numId w:val="1002"/>
          <w:ilvl w:val="0"/>
        </w:numPr>
      </w:pPr>
      <w:r>
        <w:t xml:space="preserve">La belle équipe, coopération de tiers lieux des Pyrénées Atlantiques à Orion</w:t>
      </w:r>
    </w:p>
    <w:p>
      <w:pPr>
        <w:pStyle w:val="Compact"/>
        <w:numPr>
          <w:numId w:val="1002"/>
          <w:ilvl w:val="0"/>
        </w:numPr>
      </w:pPr>
      <w:r>
        <w:t xml:space="preserve">ville de Pau à Pau</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 dont 1 dans le département:</w:t>
      </w:r>
    </w:p>
    <w:p>
      <w:pPr>
        <w:pStyle w:val="Compact"/>
        <w:numPr>
          <w:numId w:val="1003"/>
          <w:ilvl w:val="0"/>
        </w:numPr>
      </w:pPr>
      <w:r>
        <w:t xml:space="preserve">La Manufacture du Pays basque (Osserain-Rivareyte)</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«Nouvelle-Aquitaine» est couverte par le(s) Hub(s) :</w:t>
      </w:r>
      <w:r>
        <w:t xml:space="preserve"> </w:t>
      </w:r>
      <w:r>
        <w:t xml:space="preserve">HUBe-RT et Hubik.</w:t>
      </w:r>
    </w:p>
    <w:p>
      <w:pPr>
        <w:pStyle w:val="Titre2"/>
      </w:pPr>
      <w:bookmarkStart w:id="27" w:name="conseillers-numériques"/>
      <w:r>
        <w:t xml:space="preserve">Conseillers numériques</w:t>
      </w:r>
      <w:bookmarkEnd w:id="27"/>
    </w:p>
    <w:p>
      <w:pPr>
        <w:pStyle w:val="Compact"/>
        <w:numPr>
          <w:numId w:val="1004"/>
          <w:ilvl w:val="0"/>
        </w:numPr>
      </w:pPr>
      <w:r>
        <w:t xml:space="preserve">31 CNFS validés dans 22 structures d’accueil</w:t>
      </w:r>
    </w:p>
    <w:p>
      <w:pPr>
        <w:pStyle w:val="Compact"/>
        <w:numPr>
          <w:numId w:val="1004"/>
          <w:ilvl w:val="0"/>
        </w:numPr>
      </w:pPr>
      <w:r>
        <w:t xml:space="preserve">25 CNFS recrutés</w:t>
      </w:r>
    </w:p>
    <w:p>
      <w:pPr>
        <w:pStyle w:val="Compact"/>
        <w:numPr>
          <w:numId w:val="1004"/>
          <w:ilvl w:val="0"/>
        </w:numPr>
      </w:pPr>
      <w:r>
        <w:t xml:space="preserve">0 CNFS en formation</w:t>
      </w:r>
    </w:p>
    <w:p>
      <w:pPr>
        <w:pStyle w:val="Compact"/>
        <w:numPr>
          <w:numId w:val="1004"/>
          <w:ilvl w:val="0"/>
        </w:numPr>
      </w:pPr>
      <w:r>
        <w:t xml:space="preserve">19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77 structures candidates</w:t>
      </w:r>
    </w:p>
    <w:p>
      <w:pPr>
        <w:pStyle w:val="Compact"/>
        <w:numPr>
          <w:numId w:val="1005"/>
          <w:ilvl w:val="0"/>
        </w:numPr>
      </w:pPr>
      <w:r>
        <w:t xml:space="preserve">357 aidants à habiliter au total</w:t>
      </w:r>
    </w:p>
    <w:p>
      <w:pPr>
        <w:pStyle w:val="Compact"/>
        <w:numPr>
          <w:numId w:val="1005"/>
          <w:ilvl w:val="0"/>
        </w:numPr>
      </w:pPr>
      <w:r>
        <w:t xml:space="preserve">75 structures ont finalisé leur habilitation (317 aidants formés au 16 septembre 2024)</w:t>
      </w:r>
    </w:p>
    <w:p>
      <w:pPr>
        <w:pStyle w:val="Titre2"/>
      </w:pPr>
      <w:bookmarkStart w:id="29" w:name="bases-adresses-locales"/>
      <w:r>
        <w:t xml:space="preserve">Bases adresses locales</w:t>
      </w:r>
      <w:bookmarkEnd w:id="29"/>
    </w:p>
    <w:p>
      <w:pPr>
        <w:pStyle w:val="FirstParagraph"/>
      </w:pPr>
      <w:r>
        <w:t xml:space="preserve">473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04:16.</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2024-09-19T02:16:01Z</dcterms:created>
  <dcterms:modified xsi:type="dcterms:W3CDTF">2024-09-19T02:16:01Z</dcterms:modified>
</cp:coreProperties>
</file>

<file path=docProps/custom.xml><?xml version="1.0" encoding="utf-8"?>
<Properties xmlns="http://schemas.openxmlformats.org/officeDocument/2006/custom-properties" xmlns:vt="http://schemas.openxmlformats.org/officeDocument/2006/docPropsVTypes"/>
</file>