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puy-de-dôme"/>
      <w:r>
        <w:t xml:space="preserve">Numérique «Puy-de-Dôme»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80 dans le</w:t>
      </w:r>
      <w:r>
        <w:t xml:space="preserve"> </w:t>
      </w:r>
      <w:r>
        <w:t xml:space="preserve">département, parmi eux, 61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16 dans le</w:t>
      </w:r>
      <w:r>
        <w:t xml:space="preserve"> </w:t>
      </w:r>
      <w:r>
        <w:t xml:space="preserve">département, 11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25511"/>
            <wp:effectExtent b="0" l="0" r="0" t="0"/>
            <wp:docPr descr="" title="" id="1" name="Picture"/>
            <a:graphic>
              <a:graphicData uri="http://schemas.openxmlformats.org/drawingml/2006/picture">
                <pic:pic>
                  <pic:nvPicPr>
                    <pic:cNvPr descr="/srv/insitu/outbox/infographies/haut_débit/63.png" id="0" name="Picture"/>
                    <pic:cNvPicPr>
                      <a:picLocks noChangeArrowheads="1" noChangeAspect="1"/>
                    </pic:cNvPicPr>
                  </pic:nvPicPr>
                  <pic:blipFill>
                    <a:blip r:embed="rId23"/>
                    <a:stretch>
                      <a:fillRect/>
                    </a:stretch>
                  </pic:blipFill>
                  <pic:spPr bwMode="auto">
                    <a:xfrm>
                      <a:off x="0" y="0"/>
                      <a:ext cx="4572000" cy="232551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21 communes ;</w:t>
      </w:r>
    </w:p>
    <w:p>
      <w:pPr>
        <w:pStyle w:val="Compact"/>
        <w:numPr>
          <w:numId w:val="1001"/>
          <w:ilvl w:val="0"/>
        </w:numPr>
      </w:pPr>
      <w:r>
        <w:t xml:space="preserve">celle de Régie Auvergne Numérique dans la zone d’initiative publique qui comprend 442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117 493</w:t>
            </w:r>
            <w:r>
              <w:t xml:space="preserve"> </w:t>
            </w:r>
            <w:r>
              <w:rPr>
                <w:i/>
              </w:rPr>
              <w:t xml:space="preserve">25.0%</w:t>
            </w:r>
          </w:p>
        </w:tc>
        <w:tc>
          <w:p>
            <w:pPr>
              <w:pStyle w:val="Compact"/>
              <w:jc w:val="left"/>
            </w:pPr>
            <w:r>
              <w:t xml:space="preserve">101 272</w:t>
            </w:r>
            <w:r>
              <w:t xml:space="preserve"> </w:t>
            </w:r>
            <w:r>
              <w:rPr>
                <w:i/>
              </w:rPr>
              <w:t xml:space="preserve">86.0%</w:t>
            </w:r>
          </w:p>
        </w:tc>
      </w:tr>
      <w:tr>
        <w:tc>
          <w:p>
            <w:pPr>
              <w:pStyle w:val="Compact"/>
              <w:jc w:val="left"/>
            </w:pPr>
            <w:r>
              <w:t xml:space="preserve">Zone AMII</w:t>
            </w:r>
          </w:p>
        </w:tc>
        <w:tc>
          <w:p>
            <w:pPr>
              <w:pStyle w:val="Compact"/>
              <w:jc w:val="left"/>
            </w:pPr>
            <w:r>
              <w:t xml:space="preserve">110 400</w:t>
            </w:r>
            <w:r>
              <w:t xml:space="preserve"> </w:t>
            </w:r>
            <w:r>
              <w:rPr>
                <w:i/>
              </w:rPr>
              <w:t xml:space="preserve">24.0%</w:t>
            </w:r>
          </w:p>
        </w:tc>
        <w:tc>
          <w:p>
            <w:pPr>
              <w:pStyle w:val="Compact"/>
              <w:jc w:val="left"/>
            </w:pPr>
            <w:r>
              <w:t xml:space="preserve">101 331</w:t>
            </w:r>
            <w:r>
              <w:t xml:space="preserve"> </w:t>
            </w:r>
            <w:r>
              <w:rPr>
                <w:i/>
              </w:rPr>
              <w:t xml:space="preserve">92.0%</w:t>
            </w:r>
          </w:p>
        </w:tc>
      </w:tr>
      <w:tr>
        <w:tc>
          <w:p>
            <w:pPr>
              <w:pStyle w:val="Compact"/>
              <w:jc w:val="left"/>
            </w:pPr>
            <w:r>
              <w:t xml:space="preserve">Zone RIP</w:t>
            </w:r>
          </w:p>
        </w:tc>
        <w:tc>
          <w:p>
            <w:pPr>
              <w:pStyle w:val="Compact"/>
              <w:jc w:val="left"/>
            </w:pPr>
            <w:r>
              <w:t xml:space="preserve">235 282</w:t>
            </w:r>
            <w:r>
              <w:t xml:space="preserve"> </w:t>
            </w:r>
            <w:r>
              <w:rPr>
                <w:i/>
              </w:rPr>
              <w:t xml:space="preserve">51.0%</w:t>
            </w:r>
          </w:p>
        </w:tc>
        <w:tc>
          <w:p>
            <w:pPr>
              <w:pStyle w:val="Compact"/>
              <w:jc w:val="left"/>
            </w:pPr>
            <w:r>
              <w:t xml:space="preserve">175 271</w:t>
            </w:r>
            <w:r>
              <w:t xml:space="preserve"> </w:t>
            </w:r>
            <w:r>
              <w:rPr>
                <w:i/>
              </w:rPr>
              <w:t xml:space="preserve">74.0%</w:t>
            </w:r>
          </w:p>
        </w:tc>
      </w:tr>
      <w:tr>
        <w:tc>
          <w:p>
            <w:pPr>
              <w:pStyle w:val="Compact"/>
              <w:jc w:val="left"/>
            </w:pPr>
            <w:r>
              <w:rPr>
                <w:b/>
              </w:rPr>
              <w:t xml:space="preserve">Total</w:t>
            </w:r>
          </w:p>
        </w:tc>
        <w:tc>
          <w:p>
            <w:pPr>
              <w:pStyle w:val="Compact"/>
              <w:jc w:val="left"/>
            </w:pPr>
            <w:r>
              <w:t xml:space="preserve">463 175</w:t>
            </w:r>
            <w:r>
              <w:t xml:space="preserve"> </w:t>
            </w:r>
            <w:r>
              <w:rPr>
                <w:i/>
              </w:rPr>
              <w:t xml:space="preserve">100%</w:t>
            </w:r>
          </w:p>
        </w:tc>
        <w:tc>
          <w:p>
            <w:pPr>
              <w:pStyle w:val="Compact"/>
              <w:jc w:val="left"/>
            </w:pPr>
            <w:r>
              <w:t xml:space="preserve">377 874</w:t>
            </w:r>
            <w:r>
              <w:t xml:space="preserve"> </w:t>
            </w:r>
            <w:r>
              <w:rPr>
                <w:i/>
              </w:rPr>
              <w:t xml:space="preserve">82.0%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2 dans le département :</w:t>
      </w:r>
    </w:p>
    <w:p>
      <w:pPr>
        <w:pStyle w:val="Compact"/>
        <w:numPr>
          <w:numId w:val="1002"/>
          <w:ilvl w:val="0"/>
        </w:numPr>
      </w:pPr>
      <w:r>
        <w:t xml:space="preserve">La Licorne, Médiathèque-Tiers Lieu à Saint-Germain-Lembron</w:t>
      </w:r>
    </w:p>
    <w:p>
      <w:pPr>
        <w:pStyle w:val="Compact"/>
        <w:numPr>
          <w:numId w:val="1002"/>
          <w:ilvl w:val="0"/>
        </w:numPr>
      </w:pPr>
      <w:r>
        <w:t xml:space="preserve">ADACL Association de Développement de l’Animation de la Culture et des loisirs à Saint-Germain-l’Herm</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3"/>
          <w:ilvl w:val="0"/>
        </w:numPr>
      </w:pPr>
      <w:r>
        <w:t xml:space="preserve">35 CNFS validés dans 29 structures d’accueil</w:t>
      </w:r>
    </w:p>
    <w:p>
      <w:pPr>
        <w:pStyle w:val="Compact"/>
        <w:numPr>
          <w:numId w:val="1003"/>
          <w:ilvl w:val="0"/>
        </w:numPr>
      </w:pPr>
      <w:r>
        <w:t xml:space="preserve">32 CNFS recrutés</w:t>
      </w:r>
    </w:p>
    <w:p>
      <w:pPr>
        <w:pStyle w:val="Compact"/>
        <w:numPr>
          <w:numId w:val="1003"/>
          <w:ilvl w:val="0"/>
        </w:numPr>
      </w:pPr>
      <w:r>
        <w:t xml:space="preserve">0 CNFS en formation</w:t>
      </w:r>
    </w:p>
    <w:p>
      <w:pPr>
        <w:pStyle w:val="Compact"/>
        <w:numPr>
          <w:numId w:val="1003"/>
          <w:ilvl w:val="0"/>
        </w:numPr>
      </w:pPr>
      <w:r>
        <w:t xml:space="preserve">27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40 structures candidates</w:t>
      </w:r>
    </w:p>
    <w:p>
      <w:pPr>
        <w:pStyle w:val="Compact"/>
        <w:numPr>
          <w:numId w:val="1004"/>
          <w:ilvl w:val="0"/>
        </w:numPr>
      </w:pPr>
      <w:r>
        <w:t xml:space="preserve">193 aidants à habiliter au total</w:t>
      </w:r>
    </w:p>
    <w:p>
      <w:pPr>
        <w:pStyle w:val="Compact"/>
        <w:numPr>
          <w:numId w:val="1004"/>
          <w:ilvl w:val="0"/>
        </w:numPr>
      </w:pPr>
      <w:r>
        <w:t xml:space="preserve">40 structures ont finalisé leur habilitation (198 aidants formés au 16 septembre 2024)</w:t>
      </w:r>
    </w:p>
    <w:p>
      <w:pPr>
        <w:pStyle w:val="Titre2"/>
      </w:pPr>
      <w:bookmarkStart w:id="29" w:name="bases-adresses-locales"/>
      <w:r>
        <w:t xml:space="preserve">Bases adresses locales</w:t>
      </w:r>
      <w:bookmarkEnd w:id="29"/>
    </w:p>
    <w:p>
      <w:pPr>
        <w:pStyle w:val="FirstParagraph"/>
      </w:pPr>
      <w:r>
        <w:t xml:space="preserve">314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2024-09-19T02:15:59Z</dcterms:created>
  <dcterms:modified xsi:type="dcterms:W3CDTF">2024-09-19T02:15:59Z</dcterms:modified>
</cp:coreProperties>
</file>

<file path=docProps/custom.xml><?xml version="1.0" encoding="utf-8"?>
<Properties xmlns="http://schemas.openxmlformats.org/officeDocument/2006/custom-properties" xmlns:vt="http://schemas.openxmlformats.org/officeDocument/2006/docPropsVTypes"/>
</file>