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pas-de-calais"/>
      <w:r>
        <w:t xml:space="preserve">Numérique «Pas-de-Calais»</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«Hauts-de-France», 208 sites ont été identifiés dont 41 dans le</w:t>
      </w:r>
      <w:r>
        <w:t xml:space="preserve"> </w:t>
      </w:r>
      <w:r>
        <w:t xml:space="preserve">département, parmi eux, 30 ont d’ores et déjà été mis en</w:t>
      </w:r>
      <w:r>
        <w:t xml:space="preserve"> </w:t>
      </w:r>
      <w:r>
        <w:t xml:space="preserve">service (sur un total de 139 mis en service au niveau régional).</w:t>
      </w:r>
    </w:p>
    <w:p>
      <w:pPr>
        <w:pStyle w:val="Corpsdetexte"/>
      </w:pPr>
      <w:r>
        <w:t xml:space="preserve">Dans le cadre du dispositif 4G fixe, dans la région</w:t>
      </w:r>
      <w:r>
        <w:t xml:space="preserve"> </w:t>
      </w:r>
      <w:r>
        <w:t xml:space="preserve">«Hauts-de-France», 42 sites ont été identifiés dont 3 dans le</w:t>
      </w:r>
      <w:r>
        <w:t xml:space="preserve"> </w:t>
      </w:r>
      <w:r>
        <w:t xml:space="preserve">département, 2 ont déjà été mis en service</w:t>
      </w:r>
      <w:r>
        <w:t xml:space="preserve"> </w:t>
      </w:r>
      <w:r>
        <w:t xml:space="preserve">sur 40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77707"/>
            <wp:effectExtent b="0" l="0" r="0" t="0"/>
            <wp:docPr descr="" title="" id="1" name="Picture"/>
            <a:graphic>
              <a:graphicData uri="http://schemas.openxmlformats.org/drawingml/2006/picture">
                <pic:pic>
                  <pic:nvPicPr>
                    <pic:cNvPr descr="/srv/insitu/outbox/infographies/haut_débit/62.png" id="0" name="Picture"/>
                    <pic:cNvPicPr>
                      <a:picLocks noChangeArrowheads="1" noChangeAspect="1"/>
                    </pic:cNvPicPr>
                  </pic:nvPicPr>
                  <pic:blipFill>
                    <a:blip r:embed="rId23"/>
                    <a:stretch>
                      <a:fillRect/>
                    </a:stretch>
                  </pic:blipFill>
                  <pic:spPr bwMode="auto">
                    <a:xfrm>
                      <a:off x="0" y="0"/>
                      <a:ext cx="4572000" cy="2277707"/>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3 initiatives complémentaires :</w:t>
      </w:r>
    </w:p>
    <w:p>
      <w:pPr>
        <w:pStyle w:val="Compact"/>
        <w:numPr>
          <w:numId w:val="1001"/>
          <w:ilvl w:val="0"/>
        </w:numPr>
      </w:pPr>
      <w:r>
        <w:t xml:space="preserve">celle de XP Fibre sur 1 communes ;</w:t>
      </w:r>
    </w:p>
    <w:p>
      <w:pPr>
        <w:pStyle w:val="Compact"/>
        <w:numPr>
          <w:numId w:val="1001"/>
          <w:ilvl w:val="0"/>
        </w:numPr>
      </w:pPr>
      <w:r>
        <w:t xml:space="preserve">celle de Orange et XP Fibre sur 168 communes ;</w:t>
      </w:r>
    </w:p>
    <w:p>
      <w:pPr>
        <w:pStyle w:val="Compact"/>
        <w:numPr>
          <w:numId w:val="1001"/>
          <w:ilvl w:val="0"/>
        </w:numPr>
      </w:pPr>
      <w:r>
        <w:t xml:space="preserve">celle de La Fibre Numérique 5962 dans la zone d’initiative publique qui comprend 721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AMEL / fonds propres</w:t>
            </w:r>
          </w:p>
        </w:tc>
        <w:tc>
          <w:p>
            <w:pPr>
              <w:pStyle w:val="Compact"/>
              <w:jc w:val="left"/>
            </w:pPr>
            <w:r>
              <w:t xml:space="preserve">2 689</w:t>
            </w:r>
            <w:r>
              <w:t xml:space="preserve"> </w:t>
            </w:r>
            <w:r>
              <w:rPr>
                <w:i/>
              </w:rPr>
              <w:t xml:space="preserve">0.0%</w:t>
            </w:r>
          </w:p>
        </w:tc>
        <w:tc>
          <w:p>
            <w:pPr>
              <w:pStyle w:val="Compact"/>
              <w:jc w:val="left"/>
            </w:pPr>
            <w:r>
              <w:t xml:space="preserve">2 686</w:t>
            </w:r>
            <w:r>
              <w:t xml:space="preserve"> </w:t>
            </w:r>
            <w:r>
              <w:rPr>
                <w:i/>
              </w:rPr>
              <w:t xml:space="preserve">100.0%</w:t>
            </w:r>
          </w:p>
        </w:tc>
      </w:tr>
      <w:tr>
        <w:tc>
          <w:p>
            <w:pPr>
              <w:pStyle w:val="Compact"/>
              <w:jc w:val="left"/>
            </w:pPr>
            <w:r>
              <w:t xml:space="preserve">Zone AMII</w:t>
            </w:r>
          </w:p>
        </w:tc>
        <w:tc>
          <w:p>
            <w:pPr>
              <w:pStyle w:val="Compact"/>
              <w:jc w:val="left"/>
            </w:pPr>
            <w:r>
              <w:t xml:space="preserve">515 799</w:t>
            </w:r>
            <w:r>
              <w:t xml:space="preserve"> </w:t>
            </w:r>
            <w:r>
              <w:rPr>
                <w:i/>
              </w:rPr>
              <w:t xml:space="preserve">63.0%</w:t>
            </w:r>
          </w:p>
        </w:tc>
        <w:tc>
          <w:p>
            <w:pPr>
              <w:pStyle w:val="Compact"/>
              <w:jc w:val="left"/>
            </w:pPr>
            <w:r>
              <w:t xml:space="preserve">486 889</w:t>
            </w:r>
            <w:r>
              <w:t xml:space="preserve"> </w:t>
            </w:r>
            <w:r>
              <w:rPr>
                <w:i/>
              </w:rPr>
              <w:t xml:space="preserve">94.0%</w:t>
            </w:r>
          </w:p>
        </w:tc>
      </w:tr>
      <w:tr>
        <w:tc>
          <w:p>
            <w:pPr>
              <w:pStyle w:val="Compact"/>
              <w:jc w:val="left"/>
            </w:pPr>
            <w:r>
              <w:t xml:space="preserve">Zone RIP</w:t>
            </w:r>
          </w:p>
        </w:tc>
        <w:tc>
          <w:p>
            <w:pPr>
              <w:pStyle w:val="Compact"/>
              <w:jc w:val="left"/>
            </w:pPr>
            <w:r>
              <w:t xml:space="preserve">304 494</w:t>
            </w:r>
            <w:r>
              <w:t xml:space="preserve"> </w:t>
            </w:r>
            <w:r>
              <w:rPr>
                <w:i/>
              </w:rPr>
              <w:t xml:space="preserve">37.0%</w:t>
            </w:r>
          </w:p>
        </w:tc>
        <w:tc>
          <w:p>
            <w:pPr>
              <w:pStyle w:val="Compact"/>
              <w:jc w:val="left"/>
            </w:pPr>
            <w:r>
              <w:t xml:space="preserve">297 201</w:t>
            </w:r>
            <w:r>
              <w:t xml:space="preserve"> </w:t>
            </w:r>
            <w:r>
              <w:rPr>
                <w:i/>
              </w:rPr>
              <w:t xml:space="preserve">98.0%</w:t>
            </w:r>
          </w:p>
        </w:tc>
      </w:tr>
      <w:tr>
        <w:tc>
          <w:p>
            <w:pPr>
              <w:pStyle w:val="Compact"/>
              <w:jc w:val="left"/>
            </w:pPr>
            <w:r>
              <w:rPr>
                <w:b/>
              </w:rPr>
              <w:t xml:space="preserve">Total</w:t>
            </w:r>
          </w:p>
        </w:tc>
        <w:tc>
          <w:p>
            <w:pPr>
              <w:pStyle w:val="Compact"/>
              <w:jc w:val="left"/>
            </w:pPr>
            <w:r>
              <w:t xml:space="preserve">822 982</w:t>
            </w:r>
            <w:r>
              <w:t xml:space="preserve"> </w:t>
            </w:r>
            <w:r>
              <w:rPr>
                <w:i/>
              </w:rPr>
              <w:t xml:space="preserve">100%</w:t>
            </w:r>
          </w:p>
        </w:tc>
        <w:tc>
          <w:p>
            <w:pPr>
              <w:pStyle w:val="Compact"/>
              <w:jc w:val="left"/>
            </w:pPr>
            <w:r>
              <w:t xml:space="preserve">786 776</w:t>
            </w:r>
            <w:r>
              <w:t xml:space="preserve"> </w:t>
            </w:r>
            <w:r>
              <w:rPr>
                <w:i/>
              </w:rPr>
              <w:t xml:space="preserve">96.0%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21 en région «Hauts-de-France» et 7 dans le département :</w:t>
      </w:r>
    </w:p>
    <w:p>
      <w:pPr>
        <w:pStyle w:val="Compact"/>
        <w:numPr>
          <w:numId w:val="1002"/>
          <w:ilvl w:val="0"/>
        </w:numPr>
      </w:pPr>
      <w:r>
        <w:t xml:space="preserve">Association Le Germoir / La MARmeet à Ambricourt</w:t>
      </w:r>
    </w:p>
    <w:p>
      <w:pPr>
        <w:pStyle w:val="Compact"/>
        <w:numPr>
          <w:numId w:val="1002"/>
          <w:ilvl w:val="0"/>
        </w:numPr>
      </w:pPr>
      <w:r>
        <w:t xml:space="preserve">Communauté de Communes des Campagnes de l’Artois à Avesnes-le-Comte</w:t>
      </w:r>
    </w:p>
    <w:p>
      <w:pPr>
        <w:pStyle w:val="Compact"/>
        <w:numPr>
          <w:numId w:val="1002"/>
          <w:ilvl w:val="0"/>
        </w:numPr>
      </w:pPr>
      <w:r>
        <w:t xml:space="preserve">Mairie de Grenay à Grenay</w:t>
      </w:r>
    </w:p>
    <w:p>
      <w:pPr>
        <w:pStyle w:val="Compact"/>
        <w:numPr>
          <w:numId w:val="1002"/>
          <w:ilvl w:val="0"/>
        </w:numPr>
      </w:pPr>
      <w:r>
        <w:t xml:space="preserve">Les Anges Gardins à Loos-en-Gohelle</w:t>
      </w:r>
    </w:p>
    <w:p>
      <w:pPr>
        <w:pStyle w:val="Compact"/>
        <w:numPr>
          <w:numId w:val="1002"/>
          <w:ilvl w:val="0"/>
        </w:numPr>
      </w:pPr>
      <w:r>
        <w:t xml:space="preserve">La Chartreuse de Neuville à Neuville-sous-Montreuil</w:t>
      </w:r>
    </w:p>
    <w:p>
      <w:pPr>
        <w:pStyle w:val="Compact"/>
        <w:numPr>
          <w:numId w:val="1002"/>
          <w:ilvl w:val="0"/>
        </w:numPr>
      </w:pPr>
      <w:r>
        <w:t xml:space="preserve">La Station, Écosystème d’Innovation et d’entrepreneuriat à Saint-Omer</w:t>
      </w:r>
    </w:p>
    <w:p>
      <w:pPr>
        <w:pStyle w:val="Compact"/>
        <w:numPr>
          <w:numId w:val="1002"/>
          <w:ilvl w:val="0"/>
        </w:numPr>
      </w:pPr>
      <w:r>
        <w:t xml:space="preserve">Communauté d’Agglomération des deux Baies en Montreuillois (CA2BM) à Étaples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labellisées,mais aucune dans le département.</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«Hauts-de-France» est couverte par le(s) Hub(s) :</w:t>
      </w:r>
      <w:r>
        <w:t xml:space="preserve"> </w:t>
      </w:r>
      <w:r>
        <w:t xml:space="preserve">Les Assembleurs.</w:t>
      </w:r>
    </w:p>
    <w:p>
      <w:pPr>
        <w:pStyle w:val="Titre2"/>
      </w:pPr>
      <w:bookmarkStart w:id="27" w:name="conseillers-numériques"/>
      <w:r>
        <w:t xml:space="preserve">Conseillers numériques</w:t>
      </w:r>
      <w:bookmarkEnd w:id="27"/>
    </w:p>
    <w:p>
      <w:pPr>
        <w:pStyle w:val="Compact"/>
        <w:numPr>
          <w:numId w:val="1003"/>
          <w:ilvl w:val="0"/>
        </w:numPr>
      </w:pPr>
      <w:r>
        <w:t xml:space="preserve">60 CNFS validés dans 47 structures d’accueil</w:t>
      </w:r>
    </w:p>
    <w:p>
      <w:pPr>
        <w:pStyle w:val="Compact"/>
        <w:numPr>
          <w:numId w:val="1003"/>
          <w:ilvl w:val="0"/>
        </w:numPr>
      </w:pPr>
      <w:r>
        <w:t xml:space="preserve">57 CNFS recrutés</w:t>
      </w:r>
    </w:p>
    <w:p>
      <w:pPr>
        <w:pStyle w:val="Compact"/>
        <w:numPr>
          <w:numId w:val="1003"/>
          <w:ilvl w:val="0"/>
        </w:numPr>
      </w:pPr>
      <w:r>
        <w:t xml:space="preserve">0 CNFS en formation</w:t>
      </w:r>
    </w:p>
    <w:p>
      <w:pPr>
        <w:pStyle w:val="Compact"/>
        <w:numPr>
          <w:numId w:val="1003"/>
          <w:ilvl w:val="0"/>
        </w:numPr>
      </w:pPr>
      <w:r>
        <w:t xml:space="preserve">44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4"/>
          <w:ilvl w:val="0"/>
        </w:numPr>
      </w:pPr>
      <w:r>
        <w:t xml:space="preserve">76 structures candidates</w:t>
      </w:r>
    </w:p>
    <w:p>
      <w:pPr>
        <w:pStyle w:val="Compact"/>
        <w:numPr>
          <w:numId w:val="1004"/>
          <w:ilvl w:val="0"/>
        </w:numPr>
      </w:pPr>
      <w:r>
        <w:t xml:space="preserve">259 aidants à habiliter au total</w:t>
      </w:r>
    </w:p>
    <w:p>
      <w:pPr>
        <w:pStyle w:val="Compact"/>
        <w:numPr>
          <w:numId w:val="1004"/>
          <w:ilvl w:val="0"/>
        </w:numPr>
      </w:pPr>
      <w:r>
        <w:t xml:space="preserve">74 structures ont finalisé leur habilitation (228 aidants formés au 16 septembre 2024)</w:t>
      </w:r>
    </w:p>
    <w:p>
      <w:pPr>
        <w:pStyle w:val="Titre2"/>
      </w:pPr>
      <w:bookmarkStart w:id="29" w:name="bases-adresses-locales"/>
      <w:r>
        <w:t xml:space="preserve">Bases adresses locales</w:t>
      </w:r>
      <w:bookmarkEnd w:id="29"/>
    </w:p>
    <w:p>
      <w:pPr>
        <w:pStyle w:val="FirstParagraph"/>
      </w:pPr>
      <w:r>
        <w:t xml:space="preserve">264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5"/>
          <w:ilvl w:val="0"/>
        </w:numPr>
      </w:pPr>
      <w:r>
        <w:t xml:space="preserve">Aidants Connect : dernière mise à jour 16 septembre 2024</w:t>
      </w:r>
    </w:p>
    <w:p>
      <w:pPr>
        <w:pStyle w:val="Compact"/>
        <w:numPr>
          <w:numId w:val="1005"/>
          <w:ilvl w:val="0"/>
        </w:numPr>
      </w:pPr>
      <w:r>
        <w:t xml:space="preserve">Arcep – Technologies par commune : dernière mise à jour 05 avril 2024</w:t>
      </w:r>
    </w:p>
    <w:p>
      <w:pPr>
        <w:pStyle w:val="Compact"/>
        <w:numPr>
          <w:numId w:val="1005"/>
          <w:ilvl w:val="0"/>
        </w:numPr>
      </w:pPr>
      <w:r>
        <w:t xml:space="preserve">Conseillers numériques : dernière mise à jour 19 septembre 2024</w:t>
      </w:r>
    </w:p>
    <w:p>
      <w:pPr>
        <w:pStyle w:val="Compact"/>
        <w:numPr>
          <w:numId w:val="1005"/>
          <w:ilvl w:val="0"/>
        </w:numPr>
      </w:pPr>
      <w:r>
        <w:t xml:space="preserve">Fabriques de Territoire : dernière mise à jour 12 septembre 2024</w:t>
      </w:r>
    </w:p>
    <w:p>
      <w:pPr>
        <w:pStyle w:val="Compact"/>
        <w:numPr>
          <w:numId w:val="1005"/>
          <w:ilvl w:val="0"/>
        </w:numPr>
      </w:pPr>
      <w:r>
        <w:t xml:space="preserve">France Mobile : dernière mise à jour 31 mai 2024</w:t>
      </w:r>
    </w:p>
    <w:p>
      <w:pPr>
        <w:pStyle w:val="Compact"/>
        <w:numPr>
          <w:numId w:val="1005"/>
          <w:ilvl w:val="0"/>
        </w:numPr>
      </w:pPr>
      <w:r>
        <w:t xml:space="preserve">Hubs territoriaux</w:t>
      </w:r>
    </w:p>
    <w:p>
      <w:pPr>
        <w:pStyle w:val="Compact"/>
        <w:numPr>
          <w:numId w:val="1005"/>
          <w:ilvl w:val="0"/>
        </w:numPr>
      </w:pPr>
      <w:r>
        <w:t xml:space="preserve">Manufactures de proximité : dernière mise à jour 12 septembre 2024</w:t>
      </w:r>
    </w:p>
    <w:p>
      <w:pPr>
        <w:pStyle w:val="Compact"/>
        <w:numPr>
          <w:numId w:val="1005"/>
          <w:ilvl w:val="0"/>
        </w:numPr>
      </w:pPr>
      <w:r>
        <w:t xml:space="preserve">Structures d’accueil conseillers numériques : dernière mise à jour 19 septembre 2024</w:t>
      </w:r>
    </w:p>
    <w:p>
      <w:pPr>
        <w:pStyle w:val="Compact"/>
        <w:numPr>
          <w:numId w:val="1005"/>
          <w:ilvl w:val="0"/>
        </w:numPr>
      </w:pPr>
      <w:r>
        <w:t xml:space="preserve">Suivi Bases adresses locales</w:t>
      </w:r>
    </w:p>
    <w:p>
      <w:pPr>
        <w:pStyle w:val="Compact"/>
        <w:numPr>
          <w:numId w:val="1005"/>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2024-09-19T02:15:56Z</dcterms:created>
  <dcterms:modified xsi:type="dcterms:W3CDTF">2024-09-19T02:15:56Z</dcterms:modified>
</cp:coreProperties>
</file>

<file path=docProps/custom.xml><?xml version="1.0" encoding="utf-8"?>
<Properties xmlns="http://schemas.openxmlformats.org/officeDocument/2006/custom-properties" xmlns:vt="http://schemas.openxmlformats.org/officeDocument/2006/docPropsVTypes"/>
</file>