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orne"/>
      <w:r>
        <w:t xml:space="preserve">Numérique «Orne»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«Normandie», 205 sites ont été identifiés dont 33 dans le</w:t>
      </w:r>
      <w:r>
        <w:t xml:space="preserve"> </w:t>
      </w:r>
      <w:r>
        <w:t xml:space="preserve">département, parmi eux, 22 ont d’ores et déjà été mis en</w:t>
      </w:r>
      <w:r>
        <w:t xml:space="preserve"> </w:t>
      </w:r>
      <w:r>
        <w:t xml:space="preserve">service (sur un total de 144 mis en service au niveau régional).</w:t>
      </w:r>
    </w:p>
    <w:p>
      <w:pPr>
        <w:pStyle w:val="Corpsdetexte"/>
      </w:pPr>
      <w:r>
        <w:t xml:space="preserve">Dans le cadre du dispositif 4G fixe, dans la région</w:t>
      </w:r>
      <w:r>
        <w:t xml:space="preserve"> </w:t>
      </w:r>
      <w:r>
        <w:t xml:space="preserve">«Normandie», 124 sites ont été identifiés dont 3 dans le</w:t>
      </w:r>
      <w:r>
        <w:t xml:space="preserve"> </w:t>
      </w:r>
      <w:r>
        <w:t xml:space="preserve">département, 1 ont déjà été mis en service</w:t>
      </w:r>
      <w:r>
        <w:t xml:space="preserve"> </w:t>
      </w:r>
      <w:r>
        <w:t xml:space="preserve">sur 95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18053"/>
            <wp:effectExtent b="0" l="0" r="0" t="0"/>
            <wp:docPr descr="" title="" id="1" name="Picture"/>
            <a:graphic>
              <a:graphicData uri="http://schemas.openxmlformats.org/drawingml/2006/picture">
                <pic:pic>
                  <pic:nvPicPr>
                    <pic:cNvPr descr="/srv/insitu/outbox/infographies/haut_débit/61.png" id="0" name="Picture"/>
                    <pic:cNvPicPr>
                      <a:picLocks noChangeArrowheads="1" noChangeAspect="1"/>
                    </pic:cNvPicPr>
                  </pic:nvPicPr>
                  <pic:blipFill>
                    <a:blip r:embed="rId23"/>
                    <a:stretch>
                      <a:fillRect/>
                    </a:stretch>
                  </pic:blipFill>
                  <pic:spPr bwMode="auto">
                    <a:xfrm>
                      <a:off x="0" y="0"/>
                      <a:ext cx="4572000" cy="241805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Orange sur 178 communes ;</w:t>
      </w:r>
    </w:p>
    <w:p>
      <w:pPr>
        <w:pStyle w:val="Compact"/>
        <w:numPr>
          <w:numId w:val="1001"/>
          <w:ilvl w:val="0"/>
        </w:numPr>
      </w:pPr>
      <w:r>
        <w:t xml:space="preserve">celle de Orange sur 16 communes ;</w:t>
      </w:r>
    </w:p>
    <w:p>
      <w:pPr>
        <w:pStyle w:val="Compact"/>
        <w:numPr>
          <w:numId w:val="1001"/>
          <w:ilvl w:val="0"/>
        </w:numPr>
      </w:pPr>
      <w:r>
        <w:t xml:space="preserve">celle de CD Orne dans la zone d’initiative publique qui comprend 231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80 498</w:t>
            </w:r>
            <w:r>
              <w:t xml:space="preserve"> </w:t>
            </w:r>
            <w:r>
              <w:rPr>
                <w:i/>
              </w:rPr>
              <w:t xml:space="preserve">41.0%</w:t>
            </w:r>
          </w:p>
        </w:tc>
        <w:tc>
          <w:p>
            <w:pPr>
              <w:pStyle w:val="Compact"/>
              <w:jc w:val="left"/>
            </w:pPr>
            <w:r>
              <w:t xml:space="preserve">50 404</w:t>
            </w:r>
            <w:r>
              <w:t xml:space="preserve"> </w:t>
            </w:r>
            <w:r>
              <w:rPr>
                <w:i/>
              </w:rPr>
              <w:t xml:space="preserve">63.0%</w:t>
            </w:r>
          </w:p>
        </w:tc>
      </w:tr>
      <w:tr>
        <w:tc>
          <w:p>
            <w:pPr>
              <w:pStyle w:val="Compact"/>
              <w:jc w:val="left"/>
            </w:pPr>
            <w:r>
              <w:t xml:space="preserve">Zone AMII</w:t>
            </w:r>
          </w:p>
        </w:tc>
        <w:tc>
          <w:p>
            <w:pPr>
              <w:pStyle w:val="Compact"/>
              <w:jc w:val="left"/>
            </w:pPr>
            <w:r>
              <w:t xml:space="preserve">38 365</w:t>
            </w:r>
            <w:r>
              <w:t xml:space="preserve"> </w:t>
            </w:r>
            <w:r>
              <w:rPr>
                <w:i/>
              </w:rPr>
              <w:t xml:space="preserve">20.0%</w:t>
            </w:r>
          </w:p>
        </w:tc>
        <w:tc>
          <w:p>
            <w:pPr>
              <w:pStyle w:val="Compact"/>
              <w:jc w:val="left"/>
            </w:pPr>
            <w:r>
              <w:t xml:space="preserve">34 544</w:t>
            </w:r>
            <w:r>
              <w:t xml:space="preserve"> </w:t>
            </w:r>
            <w:r>
              <w:rPr>
                <w:i/>
              </w:rPr>
              <w:t xml:space="preserve">90.0%</w:t>
            </w:r>
          </w:p>
        </w:tc>
      </w:tr>
      <w:tr>
        <w:tc>
          <w:p>
            <w:pPr>
              <w:pStyle w:val="Compact"/>
              <w:jc w:val="left"/>
            </w:pPr>
            <w:r>
              <w:t xml:space="preserve">Zone RIP</w:t>
            </w:r>
          </w:p>
        </w:tc>
        <w:tc>
          <w:p>
            <w:pPr>
              <w:pStyle w:val="Compact"/>
              <w:jc w:val="left"/>
            </w:pPr>
            <w:r>
              <w:t xml:space="preserve">77 419</w:t>
            </w:r>
            <w:r>
              <w:t xml:space="preserve"> </w:t>
            </w:r>
            <w:r>
              <w:rPr>
                <w:i/>
              </w:rPr>
              <w:t xml:space="preserve">39.0%</w:t>
            </w:r>
          </w:p>
        </w:tc>
        <w:tc>
          <w:p>
            <w:pPr>
              <w:pStyle w:val="Compact"/>
              <w:jc w:val="left"/>
            </w:pPr>
            <w:r>
              <w:t xml:space="preserve">68 984</w:t>
            </w:r>
            <w:r>
              <w:t xml:space="preserve"> </w:t>
            </w:r>
            <w:r>
              <w:rPr>
                <w:i/>
              </w:rPr>
              <w:t xml:space="preserve">89.0%</w:t>
            </w:r>
          </w:p>
        </w:tc>
      </w:tr>
      <w:tr>
        <w:tc>
          <w:p>
            <w:pPr>
              <w:pStyle w:val="Compact"/>
              <w:jc w:val="left"/>
            </w:pPr>
            <w:r>
              <w:rPr>
                <w:b/>
              </w:rPr>
              <w:t xml:space="preserve">Total</w:t>
            </w:r>
          </w:p>
        </w:tc>
        <w:tc>
          <w:p>
            <w:pPr>
              <w:pStyle w:val="Compact"/>
              <w:jc w:val="left"/>
            </w:pPr>
            <w:r>
              <w:t xml:space="preserve">196 282</w:t>
            </w:r>
            <w:r>
              <w:t xml:space="preserve"> </w:t>
            </w:r>
            <w:r>
              <w:rPr>
                <w:i/>
              </w:rPr>
              <w:t xml:space="preserve">100%</w:t>
            </w:r>
          </w:p>
        </w:tc>
        <w:tc>
          <w:p>
            <w:pPr>
              <w:pStyle w:val="Compact"/>
              <w:jc w:val="left"/>
            </w:pPr>
            <w:r>
              <w:t xml:space="preserve">153 932</w:t>
            </w:r>
            <w:r>
              <w:t xml:space="preserve"> </w:t>
            </w:r>
            <w:r>
              <w:rPr>
                <w:i/>
              </w:rPr>
              <w:t xml:space="preserve">78.0%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13 en région «Normandie» et 2 dans le département :</w:t>
      </w:r>
    </w:p>
    <w:p>
      <w:pPr>
        <w:pStyle w:val="Compact"/>
        <w:numPr>
          <w:numId w:val="1002"/>
          <w:ilvl w:val="0"/>
        </w:numPr>
      </w:pPr>
      <w:r>
        <w:t xml:space="preserve">Scène nationale 61 à Alençon</w:t>
      </w:r>
    </w:p>
    <w:p>
      <w:pPr>
        <w:pStyle w:val="Compact"/>
        <w:numPr>
          <w:numId w:val="1002"/>
          <w:ilvl w:val="0"/>
        </w:numPr>
      </w:pPr>
      <w:r>
        <w:t xml:space="preserve">Le projet La Fabrique du Bocage est porté par un consortium de 4 structures du Pays du Bocage Ornais (Orne, Normandie) : 3 tiers-lieux (le coliving El Capitan, le K-Rabo et Familles Rurales Briouze) et 1 société coopérative de conseil locale (La Coop des Territoires).</w:t>
      </w:r>
      <w:r>
        <w:t xml:space="preserve"> </w:t>
      </w:r>
      <w:r>
        <w:t xml:space="preserve">La Coop des Territoires est le porteur principal du le projet. à Putanges-le-Lac</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Faire Eco (Landisacq)</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«Normandie» est couverte par le(s) Hub(s) :</w:t>
      </w:r>
      <w:r>
        <w:t xml:space="preserve"> </w:t>
      </w:r>
      <w:r>
        <w:t xml:space="preserve">Normandie.</w:t>
      </w:r>
    </w:p>
    <w:p>
      <w:pPr>
        <w:pStyle w:val="Titre2"/>
      </w:pPr>
      <w:bookmarkStart w:id="27" w:name="conseillers-numériques"/>
      <w:r>
        <w:t xml:space="preserve">Conseillers numériques</w:t>
      </w:r>
      <w:bookmarkEnd w:id="27"/>
    </w:p>
    <w:p>
      <w:pPr>
        <w:pStyle w:val="Compact"/>
        <w:numPr>
          <w:numId w:val="1004"/>
          <w:ilvl w:val="0"/>
        </w:numPr>
      </w:pPr>
      <w:r>
        <w:t xml:space="preserve">30 CNFS validés dans 25 structures d’accueil</w:t>
      </w:r>
    </w:p>
    <w:p>
      <w:pPr>
        <w:pStyle w:val="Compact"/>
        <w:numPr>
          <w:numId w:val="1004"/>
          <w:ilvl w:val="0"/>
        </w:numPr>
      </w:pPr>
      <w:r>
        <w:t xml:space="preserve">30 CNFS recrutés</w:t>
      </w:r>
    </w:p>
    <w:p>
      <w:pPr>
        <w:pStyle w:val="Compact"/>
        <w:numPr>
          <w:numId w:val="1004"/>
          <w:ilvl w:val="0"/>
        </w:numPr>
      </w:pPr>
      <w:r>
        <w:t xml:space="preserve">0 CNFS en formation</w:t>
      </w:r>
    </w:p>
    <w:p>
      <w:pPr>
        <w:pStyle w:val="Compact"/>
        <w:numPr>
          <w:numId w:val="1004"/>
          <w:ilvl w:val="0"/>
        </w:numPr>
      </w:pPr>
      <w:r>
        <w:t xml:space="preserve">23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15 structures candidates</w:t>
      </w:r>
    </w:p>
    <w:p>
      <w:pPr>
        <w:pStyle w:val="Compact"/>
        <w:numPr>
          <w:numId w:val="1005"/>
          <w:ilvl w:val="0"/>
        </w:numPr>
      </w:pPr>
      <w:r>
        <w:t xml:space="preserve">28 aidants à habiliter au total</w:t>
      </w:r>
    </w:p>
    <w:p>
      <w:pPr>
        <w:pStyle w:val="Compact"/>
        <w:numPr>
          <w:numId w:val="1005"/>
          <w:ilvl w:val="0"/>
        </w:numPr>
      </w:pPr>
      <w:r>
        <w:t xml:space="preserve">15 structures ont finalisé leur habilitation (30 aidants formés au 16 septembre 2024)</w:t>
      </w:r>
    </w:p>
    <w:p>
      <w:pPr>
        <w:pStyle w:val="Titre2"/>
      </w:pPr>
      <w:bookmarkStart w:id="29" w:name="bases-adresses-locales"/>
      <w:r>
        <w:t xml:space="preserve">Bases adresses locales</w:t>
      </w:r>
      <w:bookmarkEnd w:id="29"/>
    </w:p>
    <w:p>
      <w:pPr>
        <w:pStyle w:val="FirstParagraph"/>
      </w:pPr>
      <w:r>
        <w:t xml:space="preserve">247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2024-09-19T02:15:54Z</dcterms:created>
  <dcterms:modified xsi:type="dcterms:W3CDTF">2024-09-19T02:15:54Z</dcterms:modified>
</cp:coreProperties>
</file>

<file path=docProps/custom.xml><?xml version="1.0" encoding="utf-8"?>
<Properties xmlns="http://schemas.openxmlformats.org/officeDocument/2006/custom-properties" xmlns:vt="http://schemas.openxmlformats.org/officeDocument/2006/docPropsVTypes"/>
</file>