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oise"/>
      <w:r>
        <w:t xml:space="preserve">Numérique «Oise»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«Hauts-de-France», 208 sites ont été identifiés dont 39 dans le</w:t>
      </w:r>
      <w:r>
        <w:t xml:space="preserve"> </w:t>
      </w:r>
      <w:r>
        <w:t xml:space="preserve">département, parmi eux, 24 ont d’ores et déjà été mis en</w:t>
      </w:r>
      <w:r>
        <w:t xml:space="preserve"> </w:t>
      </w:r>
      <w:r>
        <w:t xml:space="preserve">service (sur un total de 139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4956"/>
            <wp:effectExtent b="0" l="0" r="0" t="0"/>
            <wp:docPr descr="" title="" id="1" name="Picture"/>
            <a:graphic>
              <a:graphicData uri="http://schemas.openxmlformats.org/drawingml/2006/picture">
                <pic:pic>
                  <pic:nvPicPr>
                    <pic:cNvPr descr="/srv/insitu/outbox/infographies/haut_débit/60.png" id="0" name="Picture"/>
                    <pic:cNvPicPr>
                      <a:picLocks noChangeArrowheads="1" noChangeAspect="1"/>
                    </pic:cNvPicPr>
                  </pic:nvPicPr>
                  <pic:blipFill>
                    <a:blip r:embed="rId23"/>
                    <a:stretch>
                      <a:fillRect/>
                    </a:stretch>
                  </pic:blipFill>
                  <pic:spPr bwMode="auto">
                    <a:xfrm>
                      <a:off x="0" y="0"/>
                      <a:ext cx="4572000" cy="2274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et XP Fibre sur 53 communes ;</w:t>
      </w:r>
    </w:p>
    <w:p>
      <w:pPr>
        <w:pStyle w:val="Compact"/>
        <w:numPr>
          <w:numId w:val="1001"/>
          <w:ilvl w:val="0"/>
        </w:numPr>
      </w:pPr>
      <w:r>
        <w:t xml:space="preserve">celle de Oise THD dans la zone d’initiative publique qui comprend 626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136 537</w:t>
            </w:r>
            <w:r>
              <w:t xml:space="preserve"> </w:t>
            </w:r>
            <w:r>
              <w:rPr>
                <w:i/>
              </w:rPr>
              <w:t xml:space="preserve">32.0%</w:t>
            </w:r>
          </w:p>
        </w:tc>
        <w:tc>
          <w:p>
            <w:pPr>
              <w:pStyle w:val="Compact"/>
              <w:jc w:val="left"/>
            </w:pPr>
            <w:r>
              <w:t xml:space="preserve">132 956</w:t>
            </w:r>
            <w:r>
              <w:t xml:space="preserve"> </w:t>
            </w:r>
            <w:r>
              <w:rPr>
                <w:i/>
              </w:rPr>
              <w:t xml:space="preserve">97.0%</w:t>
            </w:r>
          </w:p>
        </w:tc>
      </w:tr>
      <w:tr>
        <w:tc>
          <w:p>
            <w:pPr>
              <w:pStyle w:val="Compact"/>
              <w:jc w:val="left"/>
            </w:pPr>
            <w:r>
              <w:t xml:space="preserve">Zone RIP</w:t>
            </w:r>
          </w:p>
        </w:tc>
        <w:tc>
          <w:p>
            <w:pPr>
              <w:pStyle w:val="Compact"/>
              <w:jc w:val="left"/>
            </w:pPr>
            <w:r>
              <w:t xml:space="preserve">293 962</w:t>
            </w:r>
            <w:r>
              <w:t xml:space="preserve"> </w:t>
            </w:r>
            <w:r>
              <w:rPr>
                <w:i/>
              </w:rPr>
              <w:t xml:space="preserve">68.0%</w:t>
            </w:r>
          </w:p>
        </w:tc>
        <w:tc>
          <w:p>
            <w:pPr>
              <w:pStyle w:val="Compact"/>
              <w:jc w:val="left"/>
            </w:pPr>
            <w:r>
              <w:t xml:space="preserve">289 617</w:t>
            </w:r>
            <w:r>
              <w:t xml:space="preserve"> </w:t>
            </w:r>
            <w:r>
              <w:rPr>
                <w:i/>
              </w:rPr>
              <w:t xml:space="preserve">99.0%</w:t>
            </w:r>
          </w:p>
        </w:tc>
      </w:tr>
      <w:tr>
        <w:tc>
          <w:p>
            <w:pPr>
              <w:pStyle w:val="Compact"/>
              <w:jc w:val="left"/>
            </w:pPr>
            <w:r>
              <w:rPr>
                <w:b/>
              </w:rPr>
              <w:t xml:space="preserve">Total</w:t>
            </w:r>
          </w:p>
        </w:tc>
        <w:tc>
          <w:p>
            <w:pPr>
              <w:pStyle w:val="Compact"/>
              <w:jc w:val="left"/>
            </w:pPr>
            <w:r>
              <w:t xml:space="preserve">430 499</w:t>
            </w:r>
            <w:r>
              <w:t xml:space="preserve"> </w:t>
            </w:r>
            <w:r>
              <w:rPr>
                <w:i/>
              </w:rPr>
              <w:t xml:space="preserve">100%</w:t>
            </w:r>
          </w:p>
        </w:tc>
        <w:tc>
          <w:p>
            <w:pPr>
              <w:pStyle w:val="Compact"/>
              <w:jc w:val="left"/>
            </w:pPr>
            <w:r>
              <w:t xml:space="preserve">422 573</w:t>
            </w:r>
            <w:r>
              <w:t xml:space="preserve"> </w:t>
            </w:r>
            <w:r>
              <w:rPr>
                <w:i/>
              </w:rPr>
              <w:t xml:space="preserve">98.0%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21 en région «Hauts-de-France» et 3 dans le département :</w:t>
      </w:r>
    </w:p>
    <w:p>
      <w:pPr>
        <w:pStyle w:val="Compact"/>
        <w:numPr>
          <w:numId w:val="1002"/>
          <w:ilvl w:val="0"/>
        </w:numPr>
      </w:pPr>
      <w:r>
        <w:t xml:space="preserve">Hermitage à Autrêches</w:t>
      </w:r>
    </w:p>
    <w:p>
      <w:pPr>
        <w:pStyle w:val="Compact"/>
        <w:numPr>
          <w:numId w:val="1002"/>
          <w:ilvl w:val="0"/>
        </w:numPr>
      </w:pPr>
      <w:r>
        <w:t xml:space="preserve">SCIC Maison d’économie solidaire du Bray à Lachapelle-aux-Pots</w:t>
      </w:r>
    </w:p>
    <w:p>
      <w:pPr>
        <w:pStyle w:val="Compact"/>
        <w:numPr>
          <w:numId w:val="1002"/>
          <w:ilvl w:val="0"/>
        </w:numPr>
      </w:pPr>
      <w:r>
        <w:t xml:space="preserve">Association pour l’animation du Bord de l’Eau à Margny-lès-Compiègne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L’Atelier du Grand Pré (Lachapelle-aux-Pots)</w:t>
      </w:r>
    </w:p>
    <w:p>
      <w:pPr>
        <w:pStyle w:val="Compact"/>
        <w:numPr>
          <w:numId w:val="1003"/>
          <w:ilvl w:val="0"/>
        </w:numPr>
      </w:pPr>
      <w:r>
        <w:t xml:space="preserve">Manufacture de Proximité de l’Hermitage (Autrêches)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«Hauts-de-France» est couverte par le(s) Hub(s) :</w:t>
      </w:r>
      <w:r>
        <w:t xml:space="preserve"> </w:t>
      </w:r>
      <w:r>
        <w:t xml:space="preserve">Les Assembleurs.</w:t>
      </w:r>
    </w:p>
    <w:p>
      <w:pPr>
        <w:pStyle w:val="Titre2"/>
      </w:pPr>
      <w:bookmarkStart w:id="27" w:name="conseillers-numériques"/>
      <w:r>
        <w:t xml:space="preserve">Conseillers numériques</w:t>
      </w:r>
      <w:bookmarkEnd w:id="27"/>
    </w:p>
    <w:p>
      <w:pPr>
        <w:pStyle w:val="Compact"/>
        <w:numPr>
          <w:numId w:val="1004"/>
          <w:ilvl w:val="0"/>
        </w:numPr>
      </w:pPr>
      <w:r>
        <w:t xml:space="preserve">43 CNFS validés dans 39 structures d’accueil</w:t>
      </w:r>
    </w:p>
    <w:p>
      <w:pPr>
        <w:pStyle w:val="Compact"/>
        <w:numPr>
          <w:numId w:val="1004"/>
          <w:ilvl w:val="0"/>
        </w:numPr>
      </w:pPr>
      <w:r>
        <w:t xml:space="preserve">30 CNFS recrutés</w:t>
      </w:r>
    </w:p>
    <w:p>
      <w:pPr>
        <w:pStyle w:val="Compact"/>
        <w:numPr>
          <w:numId w:val="1004"/>
          <w:ilvl w:val="0"/>
        </w:numPr>
      </w:pPr>
      <w:r>
        <w:t xml:space="preserve">1 CNFS en formation</w:t>
      </w:r>
    </w:p>
    <w:p>
      <w:pPr>
        <w:pStyle w:val="Compact"/>
        <w:numPr>
          <w:numId w:val="1004"/>
          <w:ilvl w:val="0"/>
        </w:numPr>
      </w:pPr>
      <w:r>
        <w:t xml:space="preserve">24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48 structures candidates</w:t>
      </w:r>
    </w:p>
    <w:p>
      <w:pPr>
        <w:pStyle w:val="Compact"/>
        <w:numPr>
          <w:numId w:val="1005"/>
          <w:ilvl w:val="0"/>
        </w:numPr>
      </w:pPr>
      <w:r>
        <w:t xml:space="preserve">190 aidants à habiliter au total</w:t>
      </w:r>
    </w:p>
    <w:p>
      <w:pPr>
        <w:pStyle w:val="Compact"/>
        <w:numPr>
          <w:numId w:val="1005"/>
          <w:ilvl w:val="0"/>
        </w:numPr>
      </w:pPr>
      <w:r>
        <w:t xml:space="preserve">46 structures ont finalisé leur habilitation (145 aidants formés au 16 septembre 2024)</w:t>
      </w:r>
    </w:p>
    <w:p>
      <w:pPr>
        <w:pStyle w:val="Titre2"/>
      </w:pPr>
      <w:bookmarkStart w:id="29" w:name="bases-adresses-locales"/>
      <w:r>
        <w:t xml:space="preserve">Bases adresses locales</w:t>
      </w:r>
      <w:bookmarkEnd w:id="29"/>
    </w:p>
    <w:p>
      <w:pPr>
        <w:pStyle w:val="FirstParagraph"/>
      </w:pPr>
      <w:r>
        <w:t xml:space="preserve">249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2024-09-19T02:15:52Z</dcterms:created>
  <dcterms:modified xsi:type="dcterms:W3CDTF">2024-09-19T02:15:52Z</dcterms:modified>
</cp:coreProperties>
</file>

<file path=docProps/custom.xml><?xml version="1.0" encoding="utf-8"?>
<Properties xmlns="http://schemas.openxmlformats.org/officeDocument/2006/custom-properties" xmlns:vt="http://schemas.openxmlformats.org/officeDocument/2006/docPropsVTypes"/>
</file>