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nord"/>
      <w:r>
        <w:t xml:space="preserve">Numérique «Nord»</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 dont 29 dans le</w:t>
      </w:r>
      <w:r>
        <w:t xml:space="preserve"> </w:t>
      </w:r>
      <w:r>
        <w:t xml:space="preserve">département, parmi eux, 18 ont d’ores et déjà été mis en</w:t>
      </w:r>
      <w:r>
        <w:t xml:space="preserve"> </w:t>
      </w:r>
      <w:r>
        <w:t xml:space="preserve">service (sur un total de 139 mis en service au niveau régional).</w:t>
      </w:r>
    </w:p>
    <w:p>
      <w:pPr>
        <w:pStyle w:val="Corpsdetexte"/>
      </w:pPr>
      <w:r>
        <w:t xml:space="preserve">Dans le cadre du dispositif 4G fixe, dans la région</w:t>
      </w:r>
      <w:r>
        <w:t xml:space="preserve"> </w:t>
      </w:r>
      <w:r>
        <w:t xml:space="preserve">«Hauts-de-France», 42 sites ont été identifiés dont 2 dans le</w:t>
      </w:r>
      <w:r>
        <w:t xml:space="preserve"> </w:t>
      </w:r>
      <w:r>
        <w:t xml:space="preserve">département, 1 ont déjà été mis en service</w:t>
      </w:r>
      <w:r>
        <w:t xml:space="preserve"> </w:t>
      </w:r>
      <w:r>
        <w:t xml:space="preserve">sur 40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59.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4 initiatives complémentaires :</w:t>
      </w:r>
    </w:p>
    <w:p>
      <w:pPr>
        <w:pStyle w:val="Compact"/>
        <w:numPr>
          <w:numId w:val="1001"/>
          <w:ilvl w:val="0"/>
        </w:numPr>
      </w:pPr>
      <w:r>
        <w:t xml:space="preserve">L’initiative privée des opérateurs dans la zone très dense, qui comprend 2 communes ;</w:t>
      </w:r>
    </w:p>
    <w:p>
      <w:pPr>
        <w:pStyle w:val="Compact"/>
        <w:numPr>
          <w:numId w:val="1001"/>
          <w:ilvl w:val="0"/>
        </w:numPr>
      </w:pPr>
      <w:r>
        <w:t xml:space="preserve">celle de XP Fibre sur 1 communes ;</w:t>
      </w:r>
    </w:p>
    <w:p>
      <w:pPr>
        <w:pStyle w:val="Compact"/>
        <w:numPr>
          <w:numId w:val="1001"/>
          <w:ilvl w:val="0"/>
        </w:numPr>
      </w:pPr>
      <w:r>
        <w:t xml:space="preserve">celle de Orange et XP Fibre sur 217 communes ;</w:t>
      </w:r>
    </w:p>
    <w:p>
      <w:pPr>
        <w:pStyle w:val="Compact"/>
        <w:numPr>
          <w:numId w:val="1001"/>
          <w:ilvl w:val="0"/>
        </w:numPr>
      </w:pPr>
      <w:r>
        <w:t xml:space="preserve">celle de La Fibre Numérique 5962 dans la zone d’initiative publique qui comprend 428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179 836</w:t>
            </w:r>
            <w:r>
              <w:t xml:space="preserve"> </w:t>
            </w:r>
            <w:r>
              <w:rPr>
                <w:i/>
              </w:rPr>
              <w:t xml:space="preserve">12.0%</w:t>
            </w:r>
          </w:p>
        </w:tc>
        <w:tc>
          <w:p>
            <w:pPr>
              <w:pStyle w:val="Compact"/>
              <w:jc w:val="left"/>
            </w:pPr>
            <w:r>
              <w:t xml:space="preserve">159 711</w:t>
            </w:r>
            <w:r>
              <w:t xml:space="preserve"> </w:t>
            </w:r>
            <w:r>
              <w:rPr>
                <w:i/>
              </w:rPr>
              <w:t xml:space="preserve">89.0%</w:t>
            </w:r>
          </w:p>
        </w:tc>
      </w:tr>
      <w:tr>
        <w:tc>
          <w:p>
            <w:pPr>
              <w:pStyle w:val="Compact"/>
              <w:jc w:val="left"/>
            </w:pPr>
            <w:r>
              <w:t xml:space="preserve">Zone AMEL / fonds propres</w:t>
            </w:r>
          </w:p>
        </w:tc>
        <w:tc>
          <w:p>
            <w:pPr>
              <w:pStyle w:val="Compact"/>
              <w:jc w:val="left"/>
            </w:pPr>
            <w:r>
              <w:t xml:space="preserve">2 005</w:t>
            </w:r>
            <w:r>
              <w:t xml:space="preserve"> </w:t>
            </w:r>
            <w:r>
              <w:rPr>
                <w:i/>
              </w:rPr>
              <w:t xml:space="preserve">0.0%</w:t>
            </w:r>
          </w:p>
        </w:tc>
        <w:tc>
          <w:p>
            <w:pPr>
              <w:pStyle w:val="Compact"/>
              <w:jc w:val="left"/>
            </w:pPr>
            <w:r>
              <w:t xml:space="preserve">2 003</w:t>
            </w:r>
            <w:r>
              <w:t xml:space="preserve"> </w:t>
            </w:r>
            <w:r>
              <w:rPr>
                <w:i/>
              </w:rPr>
              <w:t xml:space="preserve">100.0%</w:t>
            </w:r>
          </w:p>
        </w:tc>
      </w:tr>
      <w:tr>
        <w:tc>
          <w:p>
            <w:pPr>
              <w:pStyle w:val="Compact"/>
              <w:jc w:val="left"/>
            </w:pPr>
            <w:r>
              <w:t xml:space="preserve">Zone AMII</w:t>
            </w:r>
          </w:p>
        </w:tc>
        <w:tc>
          <w:p>
            <w:pPr>
              <w:pStyle w:val="Compact"/>
              <w:jc w:val="left"/>
            </w:pPr>
            <w:r>
              <w:t xml:space="preserve">883 331</w:t>
            </w:r>
            <w:r>
              <w:t xml:space="preserve"> </w:t>
            </w:r>
            <w:r>
              <w:rPr>
                <w:i/>
              </w:rPr>
              <w:t xml:space="preserve">61.0%</w:t>
            </w:r>
          </w:p>
        </w:tc>
        <w:tc>
          <w:p>
            <w:pPr>
              <w:pStyle w:val="Compact"/>
              <w:jc w:val="left"/>
            </w:pPr>
            <w:r>
              <w:t xml:space="preserve">821 011</w:t>
            </w:r>
            <w:r>
              <w:t xml:space="preserve"> </w:t>
            </w:r>
            <w:r>
              <w:rPr>
                <w:i/>
              </w:rPr>
              <w:t xml:space="preserve">93.0%</w:t>
            </w:r>
          </w:p>
        </w:tc>
      </w:tr>
      <w:tr>
        <w:tc>
          <w:p>
            <w:pPr>
              <w:pStyle w:val="Compact"/>
              <w:jc w:val="left"/>
            </w:pPr>
            <w:r>
              <w:t xml:space="preserve">Zone RIP</w:t>
            </w:r>
          </w:p>
        </w:tc>
        <w:tc>
          <w:p>
            <w:pPr>
              <w:pStyle w:val="Compact"/>
              <w:jc w:val="left"/>
            </w:pPr>
            <w:r>
              <w:t xml:space="preserve">381 313</w:t>
            </w:r>
            <w:r>
              <w:t xml:space="preserve"> </w:t>
            </w:r>
            <w:r>
              <w:rPr>
                <w:i/>
              </w:rPr>
              <w:t xml:space="preserve">26.0%</w:t>
            </w:r>
          </w:p>
        </w:tc>
        <w:tc>
          <w:p>
            <w:pPr>
              <w:pStyle w:val="Compact"/>
              <w:jc w:val="left"/>
            </w:pPr>
            <w:r>
              <w:t xml:space="preserve">376 521</w:t>
            </w:r>
            <w:r>
              <w:t xml:space="preserve"> </w:t>
            </w:r>
            <w:r>
              <w:rPr>
                <w:i/>
              </w:rPr>
              <w:t xml:space="preserve">99.0%</w:t>
            </w:r>
          </w:p>
        </w:tc>
      </w:tr>
      <w:tr>
        <w:tc>
          <w:p>
            <w:pPr>
              <w:pStyle w:val="Compact"/>
              <w:jc w:val="left"/>
            </w:pPr>
            <w:r>
              <w:rPr>
                <w:b/>
              </w:rPr>
              <w:t xml:space="preserve">Total</w:t>
            </w:r>
          </w:p>
        </w:tc>
        <w:tc>
          <w:p>
            <w:pPr>
              <w:pStyle w:val="Compact"/>
              <w:jc w:val="left"/>
            </w:pPr>
            <w:r>
              <w:t xml:space="preserve">1 446 485</w:t>
            </w:r>
            <w:r>
              <w:t xml:space="preserve"> </w:t>
            </w:r>
            <w:r>
              <w:rPr>
                <w:i/>
              </w:rPr>
              <w:t xml:space="preserve">100%</w:t>
            </w:r>
          </w:p>
        </w:tc>
        <w:tc>
          <w:p>
            <w:pPr>
              <w:pStyle w:val="Compact"/>
              <w:jc w:val="left"/>
            </w:pPr>
            <w:r>
              <w:t xml:space="preserve">1 359 246</w:t>
            </w:r>
            <w:r>
              <w:t xml:space="preserve"> </w:t>
            </w:r>
            <w:r>
              <w:rPr>
                <w:i/>
              </w:rPr>
              <w:t xml:space="preserve">94.0%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21 en région «Hauts-de-France» et 7 dans le département :</w:t>
      </w:r>
    </w:p>
    <w:p>
      <w:pPr>
        <w:pStyle w:val="Compact"/>
        <w:numPr>
          <w:numId w:val="1002"/>
          <w:ilvl w:val="0"/>
        </w:numPr>
      </w:pPr>
      <w:r>
        <w:t xml:space="preserve">Association LA PETITE PIERRE à Coudekerque-Branche</w:t>
      </w:r>
    </w:p>
    <w:p>
      <w:pPr>
        <w:pStyle w:val="Compact"/>
        <w:numPr>
          <w:numId w:val="1002"/>
          <w:ilvl w:val="0"/>
        </w:numPr>
      </w:pPr>
      <w:r>
        <w:t xml:space="preserve">Ville de Fourmies à Fourmies</w:t>
      </w:r>
    </w:p>
    <w:p>
      <w:pPr>
        <w:pStyle w:val="Compact"/>
        <w:numPr>
          <w:numId w:val="1002"/>
          <w:ilvl w:val="0"/>
        </w:numPr>
      </w:pPr>
      <w:r>
        <w:t xml:space="preserve">POP à Lille</w:t>
      </w:r>
    </w:p>
    <w:p>
      <w:pPr>
        <w:pStyle w:val="Compact"/>
        <w:numPr>
          <w:numId w:val="1002"/>
          <w:ilvl w:val="0"/>
        </w:numPr>
      </w:pPr>
      <w:r>
        <w:t xml:space="preserve">Efficience, Solidaire et Créative à Maubeuge</w:t>
      </w:r>
    </w:p>
    <w:p>
      <w:pPr>
        <w:pStyle w:val="Compact"/>
        <w:numPr>
          <w:numId w:val="1002"/>
          <w:ilvl w:val="0"/>
        </w:numPr>
      </w:pPr>
      <w:r>
        <w:t xml:space="preserve">LA CONDITION PUBLIQUE EPCC à Roubaix</w:t>
      </w:r>
    </w:p>
    <w:p>
      <w:pPr>
        <w:pStyle w:val="Compact"/>
        <w:numPr>
          <w:numId w:val="1002"/>
          <w:ilvl w:val="0"/>
        </w:numPr>
      </w:pPr>
      <w:r>
        <w:t xml:space="preserve">Société coopérative d’intérêt collectif à responsabilité limitée Coopérative Baraka à Roubaix</w:t>
      </w:r>
    </w:p>
    <w:p>
      <w:pPr>
        <w:pStyle w:val="Compact"/>
        <w:numPr>
          <w:numId w:val="1002"/>
          <w:ilvl w:val="0"/>
        </w:numPr>
      </w:pPr>
      <w:r>
        <w:t xml:space="preserve">ESS TEAM à Tourcoing</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MODE CIRCULAIRE PLATEAU FERTILE (Roubaix)</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«Hauts-de-France» est couverte par le(s) Hub(s) :</w:t>
      </w:r>
      <w:r>
        <w:t xml:space="preserve"> </w:t>
      </w:r>
      <w:r>
        <w:t xml:space="preserve">Les Assembleurs.</w:t>
      </w:r>
    </w:p>
    <w:p>
      <w:pPr>
        <w:pStyle w:val="Titre2"/>
      </w:pPr>
      <w:bookmarkStart w:id="27" w:name="conseillers-numériques"/>
      <w:r>
        <w:t xml:space="preserve">Conseillers numériques</w:t>
      </w:r>
      <w:bookmarkEnd w:id="27"/>
    </w:p>
    <w:p>
      <w:pPr>
        <w:pStyle w:val="Compact"/>
        <w:numPr>
          <w:numId w:val="1004"/>
          <w:ilvl w:val="0"/>
        </w:numPr>
      </w:pPr>
      <w:r>
        <w:t xml:space="preserve">126 CNFS validés dans 99 structures d’accueil</w:t>
      </w:r>
    </w:p>
    <w:p>
      <w:pPr>
        <w:pStyle w:val="Compact"/>
        <w:numPr>
          <w:numId w:val="1004"/>
          <w:ilvl w:val="0"/>
        </w:numPr>
      </w:pPr>
      <w:r>
        <w:t xml:space="preserve">111 CNFS recrutés</w:t>
      </w:r>
    </w:p>
    <w:p>
      <w:pPr>
        <w:pStyle w:val="Compact"/>
        <w:numPr>
          <w:numId w:val="1004"/>
          <w:ilvl w:val="0"/>
        </w:numPr>
      </w:pPr>
      <w:r>
        <w:t xml:space="preserve">1 CNFS en formation</w:t>
      </w:r>
    </w:p>
    <w:p>
      <w:pPr>
        <w:pStyle w:val="Compact"/>
        <w:numPr>
          <w:numId w:val="1004"/>
          <w:ilvl w:val="0"/>
        </w:numPr>
      </w:pPr>
      <w:r>
        <w:t xml:space="preserve">99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228 structures candidates</w:t>
      </w:r>
    </w:p>
    <w:p>
      <w:pPr>
        <w:pStyle w:val="Compact"/>
        <w:numPr>
          <w:numId w:val="1005"/>
          <w:ilvl w:val="0"/>
        </w:numPr>
      </w:pPr>
      <w:r>
        <w:t xml:space="preserve">798 aidants à habiliter au total</w:t>
      </w:r>
    </w:p>
    <w:p>
      <w:pPr>
        <w:pStyle w:val="Compact"/>
        <w:numPr>
          <w:numId w:val="1005"/>
          <w:ilvl w:val="0"/>
        </w:numPr>
      </w:pPr>
      <w:r>
        <w:t xml:space="preserve">225 structures ont finalisé leur habilitation (696 aidants formés au 16 septembre 2024)</w:t>
      </w:r>
    </w:p>
    <w:p>
      <w:pPr>
        <w:pStyle w:val="Titre2"/>
      </w:pPr>
      <w:bookmarkStart w:id="29" w:name="bases-adresses-locales"/>
      <w:r>
        <w:t xml:space="preserve">Bases adresses locales</w:t>
      </w:r>
      <w:bookmarkEnd w:id="29"/>
    </w:p>
    <w:p>
      <w:pPr>
        <w:pStyle w:val="FirstParagraph"/>
      </w:pPr>
      <w:r>
        <w:t xml:space="preserve">256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2024-09-19T02:15:50Z</dcterms:created>
  <dcterms:modified xsi:type="dcterms:W3CDTF">2024-09-19T02:15:50Z</dcterms:modified>
</cp:coreProperties>
</file>

<file path=docProps/custom.xml><?xml version="1.0" encoding="utf-8"?>
<Properties xmlns="http://schemas.openxmlformats.org/officeDocument/2006/custom-properties" xmlns:vt="http://schemas.openxmlformats.org/officeDocument/2006/docPropsVTypes"/>
</file>