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nièvre"/>
      <w:r>
        <w:t xml:space="preserve">Numérique «Nièvre»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«Bourgogne-Franche-Comté», 452 sites ont été identifiés dont 66 dans le</w:t>
      </w:r>
      <w:r>
        <w:t xml:space="preserve"> </w:t>
      </w:r>
      <w:r>
        <w:t xml:space="preserve">département, parmi eux, 46 ont d’ores et déjà été mis en</w:t>
      </w:r>
      <w:r>
        <w:t xml:space="preserve"> </w:t>
      </w:r>
      <w:r>
        <w:t xml:space="preserve">service (sur un total de 304 mis en service au niveau régional).</w:t>
      </w:r>
    </w:p>
    <w:p>
      <w:pPr>
        <w:pStyle w:val="Corpsdetexte"/>
      </w:pPr>
      <w:r>
        <w:t xml:space="preserve">Dans le cadre du dispositif 4G fixe, dans la région</w:t>
      </w:r>
      <w:r>
        <w:t xml:space="preserve"> </w:t>
      </w:r>
      <w:r>
        <w:t xml:space="preserve">«Bourgogne-Franche-Comté», 87 sites ont été identifiés dont 11 dans le</w:t>
      </w:r>
      <w:r>
        <w:t xml:space="preserve"> </w:t>
      </w:r>
      <w:r>
        <w:t xml:space="preserve">département, 10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94353"/>
            <wp:effectExtent b="0" l="0" r="0" t="0"/>
            <wp:docPr descr="" title="" id="1" name="Picture"/>
            <a:graphic>
              <a:graphicData uri="http://schemas.openxmlformats.org/drawingml/2006/picture">
                <pic:pic>
                  <pic:nvPicPr>
                    <pic:cNvPr descr="/srv/insitu/outbox/infographies/haut_débit/58.png" id="0" name="Picture"/>
                    <pic:cNvPicPr>
                      <a:picLocks noChangeArrowheads="1" noChangeAspect="1"/>
                    </pic:cNvPicPr>
                  </pic:nvPicPr>
                  <pic:blipFill>
                    <a:blip r:embed="rId23"/>
                    <a:stretch>
                      <a:fillRect/>
                    </a:stretch>
                  </pic:blipFill>
                  <pic:spPr bwMode="auto">
                    <a:xfrm>
                      <a:off x="0" y="0"/>
                      <a:ext cx="4572000" cy="2294353"/>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Orange et SFR sur 264 communes ;</w:t>
      </w:r>
    </w:p>
    <w:p>
      <w:pPr>
        <w:pStyle w:val="Compact"/>
        <w:numPr>
          <w:numId w:val="1001"/>
          <w:ilvl w:val="0"/>
        </w:numPr>
      </w:pPr>
      <w:r>
        <w:t xml:space="preserve">celle de Orange sur 12 communes ;</w:t>
      </w:r>
    </w:p>
    <w:p>
      <w:pPr>
        <w:pStyle w:val="Compact"/>
        <w:numPr>
          <w:numId w:val="1001"/>
          <w:ilvl w:val="0"/>
        </w:numPr>
      </w:pPr>
      <w:r>
        <w:t xml:space="preserve">celle de Nièvre Numérique et Syndicat mixte Nièvre numérique dans la zone d’initiative publique qui comprend 106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65 498</w:t>
            </w:r>
            <w:r>
              <w:t xml:space="preserve"> </w:t>
            </w:r>
            <w:r>
              <w:rPr>
                <w:i/>
              </w:rPr>
              <w:t xml:space="preserve">41.0%</w:t>
            </w:r>
          </w:p>
        </w:tc>
        <w:tc>
          <w:p>
            <w:pPr>
              <w:pStyle w:val="Compact"/>
              <w:jc w:val="left"/>
            </w:pPr>
            <w:r>
              <w:t xml:space="preserve">63 179</w:t>
            </w:r>
            <w:r>
              <w:t xml:space="preserve"> </w:t>
            </w:r>
            <w:r>
              <w:rPr>
                <w:i/>
              </w:rPr>
              <w:t xml:space="preserve">96.0%</w:t>
            </w:r>
          </w:p>
        </w:tc>
      </w:tr>
      <w:tr>
        <w:tc>
          <w:p>
            <w:pPr>
              <w:pStyle w:val="Compact"/>
              <w:jc w:val="left"/>
            </w:pPr>
            <w:r>
              <w:t xml:space="preserve">Zone AMII</w:t>
            </w:r>
          </w:p>
        </w:tc>
        <w:tc>
          <w:p>
            <w:pPr>
              <w:pStyle w:val="Compact"/>
              <w:jc w:val="left"/>
            </w:pPr>
            <w:r>
              <w:t xml:space="preserve">47 016</w:t>
            </w:r>
            <w:r>
              <w:t xml:space="preserve"> </w:t>
            </w:r>
            <w:r>
              <w:rPr>
                <w:i/>
              </w:rPr>
              <w:t xml:space="preserve">30.0%</w:t>
            </w:r>
          </w:p>
        </w:tc>
        <w:tc>
          <w:p>
            <w:pPr>
              <w:pStyle w:val="Compact"/>
              <w:jc w:val="left"/>
            </w:pPr>
            <w:r>
              <w:t xml:space="preserve">43 472</w:t>
            </w:r>
            <w:r>
              <w:t xml:space="preserve"> </w:t>
            </w:r>
            <w:r>
              <w:rPr>
                <w:i/>
              </w:rPr>
              <w:t xml:space="preserve">92.0%</w:t>
            </w:r>
          </w:p>
        </w:tc>
      </w:tr>
      <w:tr>
        <w:tc>
          <w:p>
            <w:pPr>
              <w:pStyle w:val="Compact"/>
              <w:jc w:val="left"/>
            </w:pPr>
            <w:r>
              <w:t xml:space="preserve">Zone RIP</w:t>
            </w:r>
          </w:p>
        </w:tc>
        <w:tc>
          <w:p>
            <w:pPr>
              <w:pStyle w:val="Compact"/>
              <w:jc w:val="left"/>
            </w:pPr>
            <w:r>
              <w:t xml:space="preserve">46 636</w:t>
            </w:r>
            <w:r>
              <w:t xml:space="preserve"> </w:t>
            </w:r>
            <w:r>
              <w:rPr>
                <w:i/>
              </w:rPr>
              <w:t xml:space="preserve">29.0%</w:t>
            </w:r>
          </w:p>
        </w:tc>
        <w:tc>
          <w:p>
            <w:pPr>
              <w:pStyle w:val="Compact"/>
              <w:jc w:val="left"/>
            </w:pPr>
            <w:r>
              <w:t xml:space="preserve">41 513</w:t>
            </w:r>
            <w:r>
              <w:t xml:space="preserve"> </w:t>
            </w:r>
            <w:r>
              <w:rPr>
                <w:i/>
              </w:rPr>
              <w:t xml:space="preserve">89.0%</w:t>
            </w:r>
          </w:p>
        </w:tc>
      </w:tr>
      <w:tr>
        <w:tc>
          <w:p>
            <w:pPr>
              <w:pStyle w:val="Compact"/>
              <w:jc w:val="left"/>
            </w:pPr>
            <w:r>
              <w:rPr>
                <w:b/>
              </w:rPr>
              <w:t xml:space="preserve">Total</w:t>
            </w:r>
          </w:p>
        </w:tc>
        <w:tc>
          <w:p>
            <w:pPr>
              <w:pStyle w:val="Compact"/>
              <w:jc w:val="left"/>
            </w:pPr>
            <w:r>
              <w:t xml:space="preserve">159 150</w:t>
            </w:r>
            <w:r>
              <w:t xml:space="preserve"> </w:t>
            </w:r>
            <w:r>
              <w:rPr>
                <w:i/>
              </w:rPr>
              <w:t xml:space="preserve">100%</w:t>
            </w:r>
          </w:p>
        </w:tc>
        <w:tc>
          <w:p>
            <w:pPr>
              <w:pStyle w:val="Compact"/>
              <w:jc w:val="left"/>
            </w:pPr>
            <w:r>
              <w:t xml:space="preserve">148 164</w:t>
            </w:r>
            <w:r>
              <w:t xml:space="preserve"> </w:t>
            </w:r>
            <w:r>
              <w:rPr>
                <w:i/>
              </w:rPr>
              <w:t xml:space="preserve">93.0%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17 en région «Bourgogne-Franche-Comté» et 4 dans le département :</w:t>
      </w:r>
    </w:p>
    <w:p>
      <w:pPr>
        <w:pStyle w:val="Compact"/>
        <w:numPr>
          <w:numId w:val="1002"/>
          <w:ilvl w:val="0"/>
        </w:numPr>
      </w:pPr>
      <w:r>
        <w:t xml:space="preserve">Commune de Lormes à Lormes</w:t>
      </w:r>
    </w:p>
    <w:p>
      <w:pPr>
        <w:pStyle w:val="Compact"/>
        <w:numPr>
          <w:numId w:val="1002"/>
          <w:ilvl w:val="0"/>
        </w:numPr>
      </w:pPr>
      <w:r>
        <w:t xml:space="preserve">Mairie de Luzy à Luzy</w:t>
      </w:r>
    </w:p>
    <w:p>
      <w:pPr>
        <w:pStyle w:val="Compact"/>
        <w:numPr>
          <w:numId w:val="1002"/>
          <w:ilvl w:val="0"/>
        </w:numPr>
      </w:pPr>
      <w:r>
        <w:t xml:space="preserve">STATION ESS Nevers à Nevers</w:t>
      </w:r>
    </w:p>
    <w:p>
      <w:pPr>
        <w:pStyle w:val="Compact"/>
        <w:numPr>
          <w:numId w:val="1002"/>
          <w:ilvl w:val="0"/>
        </w:numPr>
      </w:pPr>
      <w:r>
        <w:t xml:space="preserve">Association ACALI - Ecocentre de Bourgogne à Saint-Vérain</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«Bourgogne-Franche-Comté» est couverte par le(s) Hub(s) :</w:t>
      </w:r>
      <w:r>
        <w:t xml:space="preserve"> </w:t>
      </w:r>
      <w:r>
        <w:t xml:space="preserve">Hub MedNum BFC.</w:t>
      </w:r>
    </w:p>
    <w:p>
      <w:pPr>
        <w:pStyle w:val="Titre2"/>
      </w:pPr>
      <w:bookmarkStart w:id="27" w:name="conseillers-numériques"/>
      <w:r>
        <w:t xml:space="preserve">Conseillers numériques</w:t>
      </w:r>
      <w:bookmarkEnd w:id="27"/>
    </w:p>
    <w:p>
      <w:pPr>
        <w:pStyle w:val="Compact"/>
        <w:numPr>
          <w:numId w:val="1003"/>
          <w:ilvl w:val="0"/>
        </w:numPr>
      </w:pPr>
      <w:r>
        <w:t xml:space="preserve">22 CNFS validés dans 11 structures d’accueil</w:t>
      </w:r>
    </w:p>
    <w:p>
      <w:pPr>
        <w:pStyle w:val="Compact"/>
        <w:numPr>
          <w:numId w:val="1003"/>
          <w:ilvl w:val="0"/>
        </w:numPr>
      </w:pPr>
      <w:r>
        <w:t xml:space="preserve">16 CNFS recrutés</w:t>
      </w:r>
    </w:p>
    <w:p>
      <w:pPr>
        <w:pStyle w:val="Compact"/>
        <w:numPr>
          <w:numId w:val="1003"/>
          <w:ilvl w:val="0"/>
        </w:numPr>
      </w:pPr>
      <w:r>
        <w:t xml:space="preserve">0 CNFS en formation</w:t>
      </w:r>
    </w:p>
    <w:p>
      <w:pPr>
        <w:pStyle w:val="Compact"/>
        <w:numPr>
          <w:numId w:val="1003"/>
          <w:ilvl w:val="0"/>
        </w:numPr>
      </w:pPr>
      <w:r>
        <w:t xml:space="preserve">14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46 structures candidates</w:t>
      </w:r>
    </w:p>
    <w:p>
      <w:pPr>
        <w:pStyle w:val="Compact"/>
        <w:numPr>
          <w:numId w:val="1004"/>
          <w:ilvl w:val="0"/>
        </w:numPr>
      </w:pPr>
      <w:r>
        <w:t xml:space="preserve">187 aidants à habiliter au total</w:t>
      </w:r>
    </w:p>
    <w:p>
      <w:pPr>
        <w:pStyle w:val="Compact"/>
        <w:numPr>
          <w:numId w:val="1004"/>
          <w:ilvl w:val="0"/>
        </w:numPr>
      </w:pPr>
      <w:r>
        <w:t xml:space="preserve">45 structures ont finalisé leur habilitation (107 aidants formés au 16 septembre 2024)</w:t>
      </w:r>
    </w:p>
    <w:p>
      <w:pPr>
        <w:pStyle w:val="Titre2"/>
      </w:pPr>
      <w:bookmarkStart w:id="29" w:name="bases-adresses-locales"/>
      <w:r>
        <w:t xml:space="preserve">Bases adresses locales</w:t>
      </w:r>
      <w:bookmarkEnd w:id="29"/>
    </w:p>
    <w:p>
      <w:pPr>
        <w:pStyle w:val="FirstParagraph"/>
      </w:pPr>
      <w:r>
        <w:t xml:space="preserve">181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2024-09-19T02:15:48Z</dcterms:created>
  <dcterms:modified xsi:type="dcterms:W3CDTF">2024-09-19T02:15:48Z</dcterms:modified>
</cp:coreProperties>
</file>

<file path=docProps/custom.xml><?xml version="1.0" encoding="utf-8"?>
<Properties xmlns="http://schemas.openxmlformats.org/officeDocument/2006/custom-properties" xmlns:vt="http://schemas.openxmlformats.org/officeDocument/2006/docPropsVTypes"/>
</file>