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oselle"/>
      <w:r>
        <w:t xml:space="preserve">Numérique «Moselle»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54 dans le</w:t>
      </w:r>
      <w:r>
        <w:t xml:space="preserve"> </w:t>
      </w:r>
      <w:r>
        <w:t xml:space="preserve">département, parmi eux, 42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17 dans le</w:t>
      </w:r>
      <w:r>
        <w:t xml:space="preserve"> </w:t>
      </w:r>
      <w:r>
        <w:t xml:space="preserve">département, 16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4353"/>
            <wp:effectExtent b="0" l="0" r="0" t="0"/>
            <wp:docPr descr="" title="" id="1" name="Picture"/>
            <a:graphic>
              <a:graphicData uri="http://schemas.openxmlformats.org/drawingml/2006/picture">
                <pic:pic>
                  <pic:nvPicPr>
                    <pic:cNvPr descr="/srv/insitu/outbox/infographies/haut_débit/57.png" id="0" name="Picture"/>
                    <pic:cNvPicPr>
                      <a:picLocks noChangeArrowheads="1" noChangeAspect="1"/>
                    </pic:cNvPicPr>
                  </pic:nvPicPr>
                  <pic:blipFill>
                    <a:blip r:embed="rId23"/>
                    <a:stretch>
                      <a:fillRect/>
                    </a:stretch>
                  </pic:blipFill>
                  <pic:spPr bwMode="auto">
                    <a:xfrm>
                      <a:off x="0" y="0"/>
                      <a:ext cx="4572000" cy="229435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4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Régie et XP Fibre sur 50 communes ;</w:t>
      </w:r>
    </w:p>
    <w:p>
      <w:pPr>
        <w:pStyle w:val="Compact"/>
        <w:numPr>
          <w:numId w:val="1001"/>
          <w:ilvl w:val="0"/>
        </w:numPr>
      </w:pPr>
      <w:r>
        <w:t xml:space="preserve">celle de Orange sur 72 communes ;</w:t>
      </w:r>
    </w:p>
    <w:p>
      <w:pPr>
        <w:pStyle w:val="Compact"/>
        <w:numPr>
          <w:numId w:val="1001"/>
          <w:ilvl w:val="0"/>
        </w:numPr>
      </w:pPr>
      <w:r>
        <w:t xml:space="preserve">celle de CC du Pays Orne Moselle, CC du Warndt, CC Houve-Pays Boulageois, CC Rives de Moselle, CC Sarrebourg Moselle Sud, Communauté d’agglomération de Forbach, Communauté de communes de Freyming, Communauté de communes pays de Bitche, Communautés de communes Rives de Moselle et Moselle Fibre dans la zone d’initiative publique qui comprend 602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84 815</w:t>
            </w:r>
            <w:r>
              <w:t xml:space="preserve"> </w:t>
            </w:r>
            <w:r>
              <w:rPr>
                <w:i/>
              </w:rPr>
              <w:t xml:space="preserve">14.0%</w:t>
            </w:r>
          </w:p>
        </w:tc>
        <w:tc>
          <w:p>
            <w:pPr>
              <w:pStyle w:val="Compact"/>
              <w:jc w:val="left"/>
            </w:pPr>
            <w:r>
              <w:t xml:space="preserve">80 741</w:t>
            </w:r>
            <w:r>
              <w:t xml:space="preserve"> </w:t>
            </w:r>
            <w:r>
              <w:rPr>
                <w:i/>
              </w:rPr>
              <w:t xml:space="preserve">95.0%</w:t>
            </w:r>
          </w:p>
        </w:tc>
      </w:tr>
      <w:tr>
        <w:tc>
          <w:p>
            <w:pPr>
              <w:pStyle w:val="Compact"/>
              <w:jc w:val="left"/>
            </w:pPr>
            <w:r>
              <w:t xml:space="preserve">Zone AMEL / fonds propres</w:t>
            </w:r>
          </w:p>
        </w:tc>
        <w:tc>
          <w:p>
            <w:pPr>
              <w:pStyle w:val="Compact"/>
              <w:jc w:val="left"/>
            </w:pPr>
            <w:r>
              <w:t xml:space="preserve">93 545</w:t>
            </w:r>
            <w:r>
              <w:t xml:space="preserve"> </w:t>
            </w:r>
            <w:r>
              <w:rPr>
                <w:i/>
              </w:rPr>
              <w:t xml:space="preserve">15.0%</w:t>
            </w:r>
          </w:p>
        </w:tc>
        <w:tc>
          <w:p>
            <w:pPr>
              <w:pStyle w:val="Compact"/>
              <w:jc w:val="left"/>
            </w:pPr>
            <w:r>
              <w:t xml:space="preserve">63 884</w:t>
            </w:r>
            <w:r>
              <w:t xml:space="preserve"> </w:t>
            </w:r>
            <w:r>
              <w:rPr>
                <w:i/>
              </w:rPr>
              <w:t xml:space="preserve">68.0%</w:t>
            </w:r>
          </w:p>
        </w:tc>
      </w:tr>
      <w:tr>
        <w:tc>
          <w:p>
            <w:pPr>
              <w:pStyle w:val="Compact"/>
              <w:jc w:val="left"/>
            </w:pPr>
            <w:r>
              <w:t xml:space="preserve">Zone AMII</w:t>
            </w:r>
          </w:p>
        </w:tc>
        <w:tc>
          <w:p>
            <w:pPr>
              <w:pStyle w:val="Compact"/>
              <w:jc w:val="left"/>
            </w:pPr>
            <w:r>
              <w:t xml:space="preserve">162 801</w:t>
            </w:r>
            <w:r>
              <w:t xml:space="preserve"> </w:t>
            </w:r>
            <w:r>
              <w:rPr>
                <w:i/>
              </w:rPr>
              <w:t xml:space="preserve">26.0%</w:t>
            </w:r>
          </w:p>
        </w:tc>
        <w:tc>
          <w:p>
            <w:pPr>
              <w:pStyle w:val="Compact"/>
              <w:jc w:val="left"/>
            </w:pPr>
            <w:r>
              <w:t xml:space="preserve">144 336</w:t>
            </w:r>
            <w:r>
              <w:t xml:space="preserve"> </w:t>
            </w:r>
            <w:r>
              <w:rPr>
                <w:i/>
              </w:rPr>
              <w:t xml:space="preserve">89.0%</w:t>
            </w:r>
          </w:p>
        </w:tc>
      </w:tr>
      <w:tr>
        <w:tc>
          <w:p>
            <w:pPr>
              <w:pStyle w:val="Compact"/>
              <w:jc w:val="left"/>
            </w:pPr>
            <w:r>
              <w:t xml:space="preserve">Zone RIP</w:t>
            </w:r>
          </w:p>
        </w:tc>
        <w:tc>
          <w:p>
            <w:pPr>
              <w:pStyle w:val="Compact"/>
              <w:jc w:val="left"/>
            </w:pPr>
            <w:r>
              <w:t xml:space="preserve">275 939</w:t>
            </w:r>
            <w:r>
              <w:t xml:space="preserve"> </w:t>
            </w:r>
            <w:r>
              <w:rPr>
                <w:i/>
              </w:rPr>
              <w:t xml:space="preserve">45.0%</w:t>
            </w:r>
          </w:p>
        </w:tc>
        <w:tc>
          <w:p>
            <w:pPr>
              <w:pStyle w:val="Compact"/>
              <w:jc w:val="left"/>
            </w:pPr>
            <w:r>
              <w:t xml:space="preserve">251 800</w:t>
            </w:r>
            <w:r>
              <w:t xml:space="preserve"> </w:t>
            </w:r>
            <w:r>
              <w:rPr>
                <w:i/>
              </w:rPr>
              <w:t xml:space="preserve">91.0%</w:t>
            </w:r>
          </w:p>
        </w:tc>
      </w:tr>
      <w:tr>
        <w:tc>
          <w:p>
            <w:pPr>
              <w:pStyle w:val="Compact"/>
              <w:jc w:val="left"/>
            </w:pPr>
            <w:r>
              <w:rPr>
                <w:b/>
              </w:rPr>
              <w:t xml:space="preserve">Total</w:t>
            </w:r>
          </w:p>
        </w:tc>
        <w:tc>
          <w:p>
            <w:pPr>
              <w:pStyle w:val="Compact"/>
              <w:jc w:val="left"/>
            </w:pPr>
            <w:r>
              <w:t xml:space="preserve">617 100</w:t>
            </w:r>
            <w:r>
              <w:t xml:space="preserve"> </w:t>
            </w:r>
            <w:r>
              <w:rPr>
                <w:i/>
              </w:rPr>
              <w:t xml:space="preserve">100%</w:t>
            </w:r>
          </w:p>
        </w:tc>
        <w:tc>
          <w:p>
            <w:pPr>
              <w:pStyle w:val="Compact"/>
              <w:jc w:val="left"/>
            </w:pPr>
            <w:r>
              <w:t xml:space="preserve">540 761</w:t>
            </w:r>
            <w:r>
              <w:t xml:space="preserve"> </w:t>
            </w:r>
            <w:r>
              <w:rPr>
                <w:i/>
              </w:rPr>
              <w:t xml:space="preserve">88.0%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1 dans le département :</w:t>
      </w:r>
    </w:p>
    <w:p>
      <w:pPr>
        <w:pStyle w:val="Compact"/>
        <w:numPr>
          <w:numId w:val="1002"/>
          <w:ilvl w:val="0"/>
        </w:numPr>
      </w:pPr>
      <w:r>
        <w:t xml:space="preserve">Association la Passerelle à Metz</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BLIIIDA, Les Ateliers (Metz)</w:t>
      </w:r>
    </w:p>
    <w:p>
      <w:pPr>
        <w:pStyle w:val="Compact"/>
        <w:numPr>
          <w:numId w:val="1003"/>
          <w:ilvl w:val="0"/>
        </w:numPr>
      </w:pPr>
      <w:r>
        <w:t xml:space="preserve">L’Atelier de la Gare (Maizières-lès-Vic)</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4"/>
          <w:ilvl w:val="0"/>
        </w:numPr>
      </w:pPr>
      <w:r>
        <w:t xml:space="preserve">46 CNFS validés dans 33 structures d’accueil</w:t>
      </w:r>
    </w:p>
    <w:p>
      <w:pPr>
        <w:pStyle w:val="Compact"/>
        <w:numPr>
          <w:numId w:val="1004"/>
          <w:ilvl w:val="0"/>
        </w:numPr>
      </w:pPr>
      <w:r>
        <w:t xml:space="preserve">43 CNFS recrutés</w:t>
      </w:r>
    </w:p>
    <w:p>
      <w:pPr>
        <w:pStyle w:val="Compact"/>
        <w:numPr>
          <w:numId w:val="1004"/>
          <w:ilvl w:val="0"/>
        </w:numPr>
      </w:pPr>
      <w:r>
        <w:t xml:space="preserve">0 CNFS en formation</w:t>
      </w:r>
    </w:p>
    <w:p>
      <w:pPr>
        <w:pStyle w:val="Compact"/>
        <w:numPr>
          <w:numId w:val="1004"/>
          <w:ilvl w:val="0"/>
        </w:numPr>
      </w:pPr>
      <w:r>
        <w:t xml:space="preserve">31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115 structures candidates</w:t>
      </w:r>
    </w:p>
    <w:p>
      <w:pPr>
        <w:pStyle w:val="Compact"/>
        <w:numPr>
          <w:numId w:val="1005"/>
          <w:ilvl w:val="0"/>
        </w:numPr>
      </w:pPr>
      <w:r>
        <w:t xml:space="preserve">344 aidants à habiliter au total</w:t>
      </w:r>
    </w:p>
    <w:p>
      <w:pPr>
        <w:pStyle w:val="Compact"/>
        <w:numPr>
          <w:numId w:val="1005"/>
          <w:ilvl w:val="0"/>
        </w:numPr>
      </w:pPr>
      <w:r>
        <w:t xml:space="preserve">105 structures ont finalisé leur habilitation (287 aidants formés au 16 septembre 2024)</w:t>
      </w:r>
    </w:p>
    <w:p>
      <w:pPr>
        <w:pStyle w:val="Titre2"/>
      </w:pPr>
      <w:bookmarkStart w:id="29" w:name="bases-adresses-locales"/>
      <w:r>
        <w:t xml:space="preserve">Bases adresses locales</w:t>
      </w:r>
      <w:bookmarkEnd w:id="29"/>
    </w:p>
    <w:p>
      <w:pPr>
        <w:pStyle w:val="FirstParagraph"/>
      </w:pPr>
      <w:r>
        <w:t xml:space="preserve">244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2024-09-19T02:15:45Z</dcterms:created>
  <dcterms:modified xsi:type="dcterms:W3CDTF">2024-09-19T02:15:45Z</dcterms:modified>
</cp:coreProperties>
</file>

<file path=docProps/custom.xml><?xml version="1.0" encoding="utf-8"?>
<Properties xmlns="http://schemas.openxmlformats.org/officeDocument/2006/custom-properties" xmlns:vt="http://schemas.openxmlformats.org/officeDocument/2006/docPropsVTypes"/>
</file>