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haute-marne"/>
      <w:r>
        <w:t xml:space="preserve">Numérique «Haute-Marne»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«Grand Est», 569 sites ont été identifiés dont 38 dans le</w:t>
      </w:r>
      <w:r>
        <w:t xml:space="preserve"> </w:t>
      </w:r>
      <w:r>
        <w:t xml:space="preserve">département, parmi eux, 25 ont d’ores et déjà été mis en</w:t>
      </w:r>
      <w:r>
        <w:t xml:space="preserve"> </w:t>
      </w:r>
      <w:r>
        <w:t xml:space="preserve">service (sur un total de 392 mis en service au niveau régional).</w:t>
      </w:r>
    </w:p>
    <w:p>
      <w:pPr>
        <w:pStyle w:val="Corpsdetexte"/>
      </w:pPr>
      <w:r>
        <w:t xml:space="preserve">Dans le cadre du dispositif 4G fixe, dans la région</w:t>
      </w:r>
      <w:r>
        <w:t xml:space="preserve"> </w:t>
      </w:r>
      <w:r>
        <w:t xml:space="preserve">«Grand Est», 99 sites ont été identifiés dont 3 dans le</w:t>
      </w:r>
      <w:r>
        <w:t xml:space="preserve"> </w:t>
      </w:r>
      <w:r>
        <w:t xml:space="preserve">département, 3 ont déjà été mis en service</w:t>
      </w:r>
      <w:r>
        <w:t xml:space="preserve"> </w:t>
      </w:r>
      <w:r>
        <w:t xml:space="preserve">sur 90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6000"/>
            <wp:effectExtent b="0" l="0" r="0" t="0"/>
            <wp:docPr descr="" title="" id="1" name="Picture"/>
            <a:graphic>
              <a:graphicData uri="http://schemas.openxmlformats.org/drawingml/2006/picture">
                <pic:pic>
                  <pic:nvPicPr>
                    <pic:cNvPr descr="/srv/insitu/outbox/infographies/haut_débit/52.png" id="0" name="Picture"/>
                    <pic:cNvPicPr>
                      <a:picLocks noChangeArrowheads="1" noChangeAspect="1"/>
                    </pic:cNvPicPr>
                  </pic:nvPicPr>
                  <pic:blipFill>
                    <a:blip r:embed="rId23"/>
                    <a:stretch>
                      <a:fillRect/>
                    </a:stretch>
                  </pic:blipFill>
                  <pic:spPr bwMode="auto">
                    <a:xfrm>
                      <a:off x="0" y="0"/>
                      <a:ext cx="4572000" cy="2286000"/>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28 communes ;</w:t>
      </w:r>
    </w:p>
    <w:p>
      <w:pPr>
        <w:pStyle w:val="Compact"/>
        <w:numPr>
          <w:numId w:val="1001"/>
          <w:ilvl w:val="0"/>
        </w:numPr>
      </w:pPr>
      <w:r>
        <w:t xml:space="preserve">celle de CR Grand Est dans la zone d’initiative publique qui comprend 398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39 468</w:t>
            </w:r>
            <w:r>
              <w:t xml:space="preserve"> </w:t>
            </w:r>
            <w:r>
              <w:rPr>
                <w:i/>
              </w:rPr>
              <w:t xml:space="preserve">33.0%</w:t>
            </w:r>
          </w:p>
        </w:tc>
        <w:tc>
          <w:p>
            <w:pPr>
              <w:pStyle w:val="Compact"/>
              <w:jc w:val="left"/>
            </w:pPr>
            <w:r>
              <w:t xml:space="preserve">33 398</w:t>
            </w:r>
            <w:r>
              <w:t xml:space="preserve"> </w:t>
            </w:r>
            <w:r>
              <w:rPr>
                <w:i/>
              </w:rPr>
              <w:t xml:space="preserve">85.0%</w:t>
            </w:r>
          </w:p>
        </w:tc>
      </w:tr>
      <w:tr>
        <w:tc>
          <w:p>
            <w:pPr>
              <w:pStyle w:val="Compact"/>
              <w:jc w:val="left"/>
            </w:pPr>
            <w:r>
              <w:t xml:space="preserve">Zone RIP</w:t>
            </w:r>
          </w:p>
        </w:tc>
        <w:tc>
          <w:p>
            <w:pPr>
              <w:pStyle w:val="Compact"/>
              <w:jc w:val="left"/>
            </w:pPr>
            <w:r>
              <w:t xml:space="preserve">78 453</w:t>
            </w:r>
            <w:r>
              <w:t xml:space="preserve"> </w:t>
            </w:r>
            <w:r>
              <w:rPr>
                <w:i/>
              </w:rPr>
              <w:t xml:space="preserve">67.0%</w:t>
            </w:r>
          </w:p>
        </w:tc>
        <w:tc>
          <w:p>
            <w:pPr>
              <w:pStyle w:val="Compact"/>
              <w:jc w:val="left"/>
            </w:pPr>
            <w:r>
              <w:t xml:space="preserve">75 982</w:t>
            </w:r>
            <w:r>
              <w:t xml:space="preserve"> </w:t>
            </w:r>
            <w:r>
              <w:rPr>
                <w:i/>
              </w:rPr>
              <w:t xml:space="preserve">97.0%</w:t>
            </w:r>
          </w:p>
        </w:tc>
      </w:tr>
      <w:tr>
        <w:tc>
          <w:p>
            <w:pPr>
              <w:pStyle w:val="Compact"/>
              <w:jc w:val="left"/>
            </w:pPr>
            <w:r>
              <w:rPr>
                <w:b/>
              </w:rPr>
              <w:t xml:space="preserve">Total</w:t>
            </w:r>
          </w:p>
        </w:tc>
        <w:tc>
          <w:p>
            <w:pPr>
              <w:pStyle w:val="Compact"/>
              <w:jc w:val="left"/>
            </w:pPr>
            <w:r>
              <w:t xml:space="preserve">117 921</w:t>
            </w:r>
            <w:r>
              <w:t xml:space="preserve"> </w:t>
            </w:r>
            <w:r>
              <w:rPr>
                <w:i/>
              </w:rPr>
              <w:t xml:space="preserve">100%</w:t>
            </w:r>
          </w:p>
        </w:tc>
        <w:tc>
          <w:p>
            <w:pPr>
              <w:pStyle w:val="Compact"/>
              <w:jc w:val="left"/>
            </w:pPr>
            <w:r>
              <w:t xml:space="preserve">109 380</w:t>
            </w:r>
            <w:r>
              <w:t xml:space="preserve"> </w:t>
            </w:r>
            <w:r>
              <w:rPr>
                <w:i/>
              </w:rPr>
              <w:t xml:space="preserve">93.0%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«Grand Est» et 3 dans le département :</w:t>
      </w:r>
    </w:p>
    <w:p>
      <w:pPr>
        <w:pStyle w:val="Compact"/>
        <w:numPr>
          <w:numId w:val="1002"/>
          <w:ilvl w:val="0"/>
        </w:numPr>
      </w:pPr>
      <w:r>
        <w:t xml:space="preserve">SIMONE - camp d’entraînement artistique à Châteauvillain</w:t>
      </w:r>
    </w:p>
    <w:p>
      <w:pPr>
        <w:pStyle w:val="Compact"/>
        <w:numPr>
          <w:numId w:val="1002"/>
          <w:ilvl w:val="0"/>
        </w:numPr>
      </w:pPr>
      <w:r>
        <w:t xml:space="preserve">La Tour des Villains à Le Montsaugeonnais</w:t>
      </w:r>
    </w:p>
    <w:p>
      <w:pPr>
        <w:pStyle w:val="Compact"/>
        <w:numPr>
          <w:numId w:val="1002"/>
          <w:ilvl w:val="0"/>
        </w:numPr>
      </w:pPr>
      <w:r>
        <w:t xml:space="preserve">La Maison de Courcelles à Saint-Loup-sur-Aujon</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«Grand Est» est couverte par le(s) Hub(s) :</w:t>
      </w:r>
      <w:r>
        <w:t xml:space="preserve"> </w:t>
      </w:r>
      <w:r>
        <w:t xml:space="preserve">Grand Est.</w:t>
      </w:r>
    </w:p>
    <w:p>
      <w:pPr>
        <w:pStyle w:val="Titre2"/>
      </w:pPr>
      <w:bookmarkStart w:id="27" w:name="conseillers-numériques"/>
      <w:r>
        <w:t xml:space="preserve">Conseillers numériques</w:t>
      </w:r>
      <w:bookmarkEnd w:id="27"/>
    </w:p>
    <w:p>
      <w:pPr>
        <w:pStyle w:val="Compact"/>
        <w:numPr>
          <w:numId w:val="1003"/>
          <w:ilvl w:val="0"/>
        </w:numPr>
      </w:pPr>
      <w:r>
        <w:t xml:space="preserve">18 CNFS validés dans 13 structures d’accueil</w:t>
      </w:r>
    </w:p>
    <w:p>
      <w:pPr>
        <w:pStyle w:val="Compact"/>
        <w:numPr>
          <w:numId w:val="1003"/>
          <w:ilvl w:val="0"/>
        </w:numPr>
      </w:pPr>
      <w:r>
        <w:t xml:space="preserve">14 CNFS recrutés</w:t>
      </w:r>
    </w:p>
    <w:p>
      <w:pPr>
        <w:pStyle w:val="Compact"/>
        <w:numPr>
          <w:numId w:val="1003"/>
          <w:ilvl w:val="0"/>
        </w:numPr>
      </w:pPr>
      <w:r>
        <w:t xml:space="preserve">1 CNFS en formation</w:t>
      </w:r>
    </w:p>
    <w:p>
      <w:pPr>
        <w:pStyle w:val="Compact"/>
        <w:numPr>
          <w:numId w:val="1003"/>
          <w:ilvl w:val="0"/>
        </w:numPr>
      </w:pPr>
      <w:r>
        <w:t xml:space="preserve">13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21 structures candidates</w:t>
      </w:r>
    </w:p>
    <w:p>
      <w:pPr>
        <w:pStyle w:val="Compact"/>
        <w:numPr>
          <w:numId w:val="1004"/>
          <w:ilvl w:val="0"/>
        </w:numPr>
      </w:pPr>
      <w:r>
        <w:t xml:space="preserve">61 aidants à habiliter au total</w:t>
      </w:r>
    </w:p>
    <w:p>
      <w:pPr>
        <w:pStyle w:val="Compact"/>
        <w:numPr>
          <w:numId w:val="1004"/>
          <w:ilvl w:val="0"/>
        </w:numPr>
      </w:pPr>
      <w:r>
        <w:t xml:space="preserve">21 structures ont finalisé leur habilitation (50 aidants formés au 16 septembre 2024)</w:t>
      </w:r>
    </w:p>
    <w:p>
      <w:pPr>
        <w:pStyle w:val="Titre2"/>
      </w:pPr>
      <w:bookmarkStart w:id="29" w:name="bases-adresses-locales"/>
      <w:r>
        <w:t xml:space="preserve">Bases adresses locales</w:t>
      </w:r>
      <w:bookmarkEnd w:id="29"/>
    </w:p>
    <w:p>
      <w:pPr>
        <w:pStyle w:val="FirstParagraph"/>
      </w:pPr>
      <w:r>
        <w:t xml:space="preserve">140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2024-09-19T02:15:37Z</dcterms:created>
  <dcterms:modified xsi:type="dcterms:W3CDTF">2024-09-19T02:15:37Z</dcterms:modified>
</cp:coreProperties>
</file>

<file path=docProps/custom.xml><?xml version="1.0" encoding="utf-8"?>
<Properties xmlns="http://schemas.openxmlformats.org/officeDocument/2006/custom-properties" xmlns:vt="http://schemas.openxmlformats.org/officeDocument/2006/docPropsVTypes"/>
</file>