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lot-et-garonne"/>
      <w:r>
        <w:t xml:space="preserve">Numérique «Lot-et-Garonne»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«Nouvelle-Aquitaine», 536 sites ont été identifiés dont 49 dans le</w:t>
      </w:r>
      <w:r>
        <w:t xml:space="preserve"> </w:t>
      </w:r>
      <w:r>
        <w:t xml:space="preserve">département, parmi eux, 36 ont d’ores et déjà été mis en</w:t>
      </w:r>
      <w:r>
        <w:t xml:space="preserve"> </w:t>
      </w:r>
      <w:r>
        <w:t xml:space="preserve">service (sur un total de 350 mis en service au niveau régional).</w:t>
      </w:r>
    </w:p>
    <w:p>
      <w:pPr>
        <w:pStyle w:val="Corpsdetexte"/>
      </w:pPr>
      <w:r>
        <w:t xml:space="preserve">Dans le cadre du dispositif 4G fixe, dans la région</w:t>
      </w:r>
      <w:r>
        <w:t xml:space="preserve"> </w:t>
      </w:r>
      <w:r>
        <w:t xml:space="preserve">«Nouvelle-Aquitaine», 239 sites ont été identifiés dont 8 dans le</w:t>
      </w:r>
      <w:r>
        <w:t xml:space="preserve"> </w:t>
      </w:r>
      <w:r>
        <w:t xml:space="preserve">département, 6 ont déjà été mis en service</w:t>
      </w:r>
      <w:r>
        <w:t xml:space="preserve"> </w:t>
      </w:r>
      <w:r>
        <w:t xml:space="preserve">sur 172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78363"/>
            <wp:effectExtent b="0" l="0" r="0" t="0"/>
            <wp:docPr descr="" title="" id="1" name="Picture"/>
            <a:graphic>
              <a:graphicData uri="http://schemas.openxmlformats.org/drawingml/2006/picture">
                <pic:pic>
                  <pic:nvPicPr>
                    <pic:cNvPr descr="/srv/insitu/outbox/infographies/haut_débit/47.png" id="0" name="Picture"/>
                    <pic:cNvPicPr>
                      <a:picLocks noChangeArrowheads="1" noChangeAspect="1"/>
                    </pic:cNvPicPr>
                  </pic:nvPicPr>
                  <pic:blipFill>
                    <a:blip r:embed="rId23"/>
                    <a:stretch>
                      <a:fillRect/>
                    </a:stretch>
                  </pic:blipFill>
                  <pic:spPr bwMode="auto">
                    <a:xfrm>
                      <a:off x="0" y="0"/>
                      <a:ext cx="4572000" cy="2378363"/>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Axione et Orange sur 236 communes ;</w:t>
      </w:r>
    </w:p>
    <w:p>
      <w:pPr>
        <w:pStyle w:val="Compact"/>
        <w:numPr>
          <w:numId w:val="1001"/>
          <w:ilvl w:val="0"/>
        </w:numPr>
      </w:pPr>
      <w:r>
        <w:t xml:space="preserve">celle de Orange sur 14 communes ;</w:t>
      </w:r>
    </w:p>
    <w:p>
      <w:pPr>
        <w:pStyle w:val="Compact"/>
        <w:numPr>
          <w:numId w:val="1001"/>
          <w:ilvl w:val="0"/>
        </w:numPr>
      </w:pPr>
      <w:r>
        <w:t xml:space="preserve">celle de Lot-et-Garonne Numérique dans la zone d’initiative publique qui comprend 135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100 432</w:t>
            </w:r>
            <w:r>
              <w:t xml:space="preserve"> </w:t>
            </w:r>
            <w:r>
              <w:rPr>
                <w:i/>
              </w:rPr>
              <w:t xml:space="preserve">45.0%</w:t>
            </w:r>
          </w:p>
        </w:tc>
        <w:tc>
          <w:p>
            <w:pPr>
              <w:pStyle w:val="Compact"/>
              <w:jc w:val="left"/>
            </w:pPr>
            <w:r>
              <w:t xml:space="preserve">78 071</w:t>
            </w:r>
            <w:r>
              <w:t xml:space="preserve"> </w:t>
            </w:r>
            <w:r>
              <w:rPr>
                <w:i/>
              </w:rPr>
              <w:t xml:space="preserve">78.0%</w:t>
            </w:r>
          </w:p>
        </w:tc>
      </w:tr>
      <w:tr>
        <w:tc>
          <w:p>
            <w:pPr>
              <w:pStyle w:val="Compact"/>
              <w:jc w:val="left"/>
            </w:pPr>
            <w:r>
              <w:t xml:space="preserve">Zone AMII</w:t>
            </w:r>
          </w:p>
        </w:tc>
        <w:tc>
          <w:p>
            <w:pPr>
              <w:pStyle w:val="Compact"/>
              <w:jc w:val="left"/>
            </w:pPr>
            <w:r>
              <w:t xml:space="preserve">79 935</w:t>
            </w:r>
            <w:r>
              <w:t xml:space="preserve"> </w:t>
            </w:r>
            <w:r>
              <w:rPr>
                <w:i/>
              </w:rPr>
              <w:t xml:space="preserve">36.0%</w:t>
            </w:r>
          </w:p>
        </w:tc>
        <w:tc>
          <w:p>
            <w:pPr>
              <w:pStyle w:val="Compact"/>
              <w:jc w:val="left"/>
            </w:pPr>
            <w:r>
              <w:t xml:space="preserve">68 196</w:t>
            </w:r>
            <w:r>
              <w:t xml:space="preserve"> </w:t>
            </w:r>
            <w:r>
              <w:rPr>
                <w:i/>
              </w:rPr>
              <w:t xml:space="preserve">85.0%</w:t>
            </w:r>
          </w:p>
        </w:tc>
      </w:tr>
      <w:tr>
        <w:tc>
          <w:p>
            <w:pPr>
              <w:pStyle w:val="Compact"/>
              <w:jc w:val="left"/>
            </w:pPr>
            <w:r>
              <w:t xml:space="preserve">Zone RIP</w:t>
            </w:r>
          </w:p>
        </w:tc>
        <w:tc>
          <w:p>
            <w:pPr>
              <w:pStyle w:val="Compact"/>
              <w:jc w:val="left"/>
            </w:pPr>
            <w:r>
              <w:t xml:space="preserve">43 743</w:t>
            </w:r>
            <w:r>
              <w:t xml:space="preserve"> </w:t>
            </w:r>
            <w:r>
              <w:rPr>
                <w:i/>
              </w:rPr>
              <w:t xml:space="preserve">20.0%</w:t>
            </w:r>
          </w:p>
        </w:tc>
        <w:tc>
          <w:p>
            <w:pPr>
              <w:pStyle w:val="Compact"/>
              <w:jc w:val="left"/>
            </w:pPr>
            <w:r>
              <w:t xml:space="preserve">43 473</w:t>
            </w:r>
            <w:r>
              <w:t xml:space="preserve"> </w:t>
            </w:r>
            <w:r>
              <w:rPr>
                <w:i/>
              </w:rPr>
              <w:t xml:space="preserve">99.0%</w:t>
            </w:r>
          </w:p>
        </w:tc>
      </w:tr>
      <w:tr>
        <w:tc>
          <w:p>
            <w:pPr>
              <w:pStyle w:val="Compact"/>
              <w:jc w:val="left"/>
            </w:pPr>
            <w:r>
              <w:rPr>
                <w:b/>
              </w:rPr>
              <w:t xml:space="preserve">Total</w:t>
            </w:r>
          </w:p>
        </w:tc>
        <w:tc>
          <w:p>
            <w:pPr>
              <w:pStyle w:val="Compact"/>
              <w:jc w:val="left"/>
            </w:pPr>
            <w:r>
              <w:t xml:space="preserve">224 110</w:t>
            </w:r>
            <w:r>
              <w:t xml:space="preserve"> </w:t>
            </w:r>
            <w:r>
              <w:rPr>
                <w:i/>
              </w:rPr>
              <w:t xml:space="preserve">100%</w:t>
            </w:r>
          </w:p>
        </w:tc>
        <w:tc>
          <w:p>
            <w:pPr>
              <w:pStyle w:val="Compact"/>
              <w:jc w:val="left"/>
            </w:pPr>
            <w:r>
              <w:t xml:space="preserve">189 740</w:t>
            </w:r>
            <w:r>
              <w:t xml:space="preserve"> </w:t>
            </w:r>
            <w:r>
              <w:rPr>
                <w:i/>
              </w:rPr>
              <w:t xml:space="preserve">85.0%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30 en région «Nouvelle-Aquitaine» et 3 dans le département :</w:t>
      </w:r>
    </w:p>
    <w:p>
      <w:pPr>
        <w:pStyle w:val="Compact"/>
        <w:numPr>
          <w:numId w:val="1002"/>
          <w:ilvl w:val="0"/>
        </w:numPr>
      </w:pPr>
      <w:r>
        <w:t xml:space="preserve">LA FONTAINE à Agen</w:t>
      </w:r>
    </w:p>
    <w:p>
      <w:pPr>
        <w:pStyle w:val="Compact"/>
        <w:numPr>
          <w:numId w:val="1002"/>
          <w:ilvl w:val="0"/>
        </w:numPr>
      </w:pPr>
      <w:r>
        <w:t xml:space="preserve">AUDACE/S à Meilhan-sur-Garonne</w:t>
      </w:r>
    </w:p>
    <w:p>
      <w:pPr>
        <w:pStyle w:val="Compact"/>
        <w:numPr>
          <w:numId w:val="1002"/>
          <w:ilvl w:val="0"/>
        </w:numPr>
      </w:pPr>
      <w:r>
        <w:t xml:space="preserve">La Maison forte à Monbalen</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«Nouvelle-Aquitaine» est couverte par le(s) Hub(s) :</w:t>
      </w:r>
      <w:r>
        <w:t xml:space="preserve"> </w:t>
      </w:r>
      <w:r>
        <w:t xml:space="preserve">HUBe-RT et Hubik.</w:t>
      </w:r>
    </w:p>
    <w:p>
      <w:pPr>
        <w:pStyle w:val="Titre2"/>
      </w:pPr>
      <w:bookmarkStart w:id="27" w:name="conseillers-numériques"/>
      <w:r>
        <w:t xml:space="preserve">Conseillers numériques</w:t>
      </w:r>
      <w:bookmarkEnd w:id="27"/>
    </w:p>
    <w:p>
      <w:pPr>
        <w:pStyle w:val="Compact"/>
        <w:numPr>
          <w:numId w:val="1003"/>
          <w:ilvl w:val="0"/>
        </w:numPr>
      </w:pPr>
      <w:r>
        <w:t xml:space="preserve">39 CNFS validés dans 26 structures d’accueil</w:t>
      </w:r>
    </w:p>
    <w:p>
      <w:pPr>
        <w:pStyle w:val="Compact"/>
        <w:numPr>
          <w:numId w:val="1003"/>
          <w:ilvl w:val="0"/>
        </w:numPr>
      </w:pPr>
      <w:r>
        <w:t xml:space="preserve">36 CNFS recrutés</w:t>
      </w:r>
    </w:p>
    <w:p>
      <w:pPr>
        <w:pStyle w:val="Compact"/>
        <w:numPr>
          <w:numId w:val="1003"/>
          <w:ilvl w:val="0"/>
        </w:numPr>
      </w:pPr>
      <w:r>
        <w:t xml:space="preserve">0 CNFS en formation</w:t>
      </w:r>
    </w:p>
    <w:p>
      <w:pPr>
        <w:pStyle w:val="Compact"/>
        <w:numPr>
          <w:numId w:val="1003"/>
          <w:ilvl w:val="0"/>
        </w:numPr>
      </w:pPr>
      <w:r>
        <w:t xml:space="preserve">32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50 structures candidates</w:t>
      </w:r>
    </w:p>
    <w:p>
      <w:pPr>
        <w:pStyle w:val="Compact"/>
        <w:numPr>
          <w:numId w:val="1004"/>
          <w:ilvl w:val="0"/>
        </w:numPr>
      </w:pPr>
      <w:r>
        <w:t xml:space="preserve">180 aidants à habiliter au total</w:t>
      </w:r>
    </w:p>
    <w:p>
      <w:pPr>
        <w:pStyle w:val="Compact"/>
        <w:numPr>
          <w:numId w:val="1004"/>
          <w:ilvl w:val="0"/>
        </w:numPr>
      </w:pPr>
      <w:r>
        <w:t xml:space="preserve">46 structures ont finalisé leur habilitation (143 aidants formés au 30 septembre 2024)</w:t>
      </w:r>
    </w:p>
    <w:p>
      <w:pPr>
        <w:pStyle w:val="Titre2"/>
      </w:pPr>
      <w:bookmarkStart w:id="29" w:name="bases-adresses-locales"/>
      <w:r>
        <w:t xml:space="preserve">Bases adresses locales</w:t>
      </w:r>
      <w:bookmarkEnd w:id="29"/>
    </w:p>
    <w:p>
      <w:pPr>
        <w:pStyle w:val="FirstParagraph"/>
      </w:pPr>
      <w:r>
        <w:t xml:space="preserve">181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02 octobre 2024 à 09:45.</w:t>
      </w:r>
    </w:p>
    <w:p>
      <w:pPr>
        <w:pStyle w:val="Corpsdetexte"/>
      </w:pPr>
      <w:r>
        <w:t xml:space="preserve">Les sources de données suivantes ont été utilisées :</w:t>
      </w:r>
    </w:p>
    <w:p>
      <w:pPr>
        <w:pStyle w:val="Compact"/>
        <w:numPr>
          <w:numId w:val="1005"/>
          <w:ilvl w:val="0"/>
        </w:numPr>
      </w:pPr>
      <w:r>
        <w:t xml:space="preserve">Aidants Connect : dernière mise à jour 30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02 octobre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02 octobre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2024-10-02T07:45:58Z</dcterms:created>
  <dcterms:modified xsi:type="dcterms:W3CDTF">2024-10-02T07:45:58Z</dcterms:modified>
</cp:coreProperties>
</file>

<file path=docProps/custom.xml><?xml version="1.0" encoding="utf-8"?>
<Properties xmlns="http://schemas.openxmlformats.org/officeDocument/2006/custom-properties" xmlns:vt="http://schemas.openxmlformats.org/officeDocument/2006/docPropsVTypes"/>
</file>