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ot"/>
      <w:r>
        <w:t xml:space="preserve">Numérique «Lot»</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81 dans le</w:t>
      </w:r>
      <w:r>
        <w:t xml:space="preserve"> </w:t>
      </w:r>
      <w:r>
        <w:t xml:space="preserve">département, parmi eux, 55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1 dans le</w:t>
      </w:r>
      <w:r>
        <w:t xml:space="preserve"> </w:t>
      </w:r>
      <w:r>
        <w:t xml:space="preserve">département, 1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8777"/>
            <wp:effectExtent b="0" l="0" r="0" t="0"/>
            <wp:docPr descr="" title="" id="1" name="Picture"/>
            <a:graphic>
              <a:graphicData uri="http://schemas.openxmlformats.org/drawingml/2006/picture">
                <pic:pic>
                  <pic:nvPicPr>
                    <pic:cNvPr descr="/srv/insitu/outbox/infographies/haut_débit/46.png" id="0" name="Picture"/>
                    <pic:cNvPicPr>
                      <a:picLocks noChangeArrowheads="1" noChangeAspect="1"/>
                    </pic:cNvPicPr>
                  </pic:nvPicPr>
                  <pic:blipFill>
                    <a:blip r:embed="rId23"/>
                    <a:stretch>
                      <a:fillRect/>
                    </a:stretch>
                  </pic:blipFill>
                  <pic:spPr bwMode="auto">
                    <a:xfrm>
                      <a:off x="0" y="0"/>
                      <a:ext cx="4572000" cy="228877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30 communes ;</w:t>
      </w:r>
    </w:p>
    <w:p>
      <w:pPr>
        <w:pStyle w:val="Compact"/>
        <w:numPr>
          <w:numId w:val="1001"/>
          <w:ilvl w:val="0"/>
        </w:numPr>
      </w:pPr>
      <w:r>
        <w:t xml:space="preserve">celle de Lot numérique dans la zone d’initiative publique qui comprend 284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28 782</w:t>
            </w:r>
            <w:r>
              <w:t xml:space="preserve"> </w:t>
            </w:r>
            <w:r>
              <w:rPr>
                <w:i/>
              </w:rPr>
              <w:t xml:space="preserve">20.0%</w:t>
            </w:r>
          </w:p>
        </w:tc>
        <w:tc>
          <w:p>
            <w:pPr>
              <w:pStyle w:val="Compact"/>
              <w:jc w:val="left"/>
            </w:pPr>
            <w:r>
              <w:t xml:space="preserve">24 910</w:t>
            </w:r>
            <w:r>
              <w:t xml:space="preserve"> </w:t>
            </w:r>
            <w:r>
              <w:rPr>
                <w:i/>
              </w:rPr>
              <w:t xml:space="preserve">87.0%</w:t>
            </w:r>
          </w:p>
        </w:tc>
      </w:tr>
      <w:tr>
        <w:tc>
          <w:p>
            <w:pPr>
              <w:pStyle w:val="Compact"/>
              <w:jc w:val="left"/>
            </w:pPr>
            <w:r>
              <w:t xml:space="preserve">Zone RIP</w:t>
            </w:r>
          </w:p>
        </w:tc>
        <w:tc>
          <w:p>
            <w:pPr>
              <w:pStyle w:val="Compact"/>
              <w:jc w:val="left"/>
            </w:pPr>
            <w:r>
              <w:t xml:space="preserve">115 452</w:t>
            </w:r>
            <w:r>
              <w:t xml:space="preserve"> </w:t>
            </w:r>
            <w:r>
              <w:rPr>
                <w:i/>
              </w:rPr>
              <w:t xml:space="preserve">80.0%</w:t>
            </w:r>
          </w:p>
        </w:tc>
        <w:tc>
          <w:p>
            <w:pPr>
              <w:pStyle w:val="Compact"/>
              <w:jc w:val="left"/>
            </w:pPr>
            <w:r>
              <w:t xml:space="preserve">112 553</w:t>
            </w:r>
            <w:r>
              <w:t xml:space="preserve"> </w:t>
            </w:r>
            <w:r>
              <w:rPr>
                <w:i/>
              </w:rPr>
              <w:t xml:space="preserve">97.0%</w:t>
            </w:r>
          </w:p>
        </w:tc>
      </w:tr>
      <w:tr>
        <w:tc>
          <w:p>
            <w:pPr>
              <w:pStyle w:val="Compact"/>
              <w:jc w:val="left"/>
            </w:pPr>
            <w:r>
              <w:rPr>
                <w:b/>
              </w:rPr>
              <w:t xml:space="preserve">Total</w:t>
            </w:r>
          </w:p>
        </w:tc>
        <w:tc>
          <w:p>
            <w:pPr>
              <w:pStyle w:val="Compact"/>
              <w:jc w:val="left"/>
            </w:pPr>
            <w:r>
              <w:t xml:space="preserve">144 234</w:t>
            </w:r>
            <w:r>
              <w:t xml:space="preserve"> </w:t>
            </w:r>
            <w:r>
              <w:rPr>
                <w:i/>
              </w:rPr>
              <w:t xml:space="preserve">100%</w:t>
            </w:r>
          </w:p>
        </w:tc>
        <w:tc>
          <w:p>
            <w:pPr>
              <w:pStyle w:val="Compact"/>
              <w:jc w:val="left"/>
            </w:pPr>
            <w:r>
              <w:t xml:space="preserve">137 463</w:t>
            </w:r>
            <w:r>
              <w:t xml:space="preserve"> </w:t>
            </w:r>
            <w:r>
              <w:rPr>
                <w:i/>
              </w:rPr>
              <w:t xml:space="preserve">95.0%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2 dans le département :</w:t>
      </w:r>
    </w:p>
    <w:p>
      <w:pPr>
        <w:pStyle w:val="Compact"/>
        <w:numPr>
          <w:numId w:val="1002"/>
          <w:ilvl w:val="0"/>
        </w:numPr>
      </w:pPr>
      <w:r>
        <w:t xml:space="preserve">La Fabrique Francophone à Cahors</w:t>
      </w:r>
    </w:p>
    <w:p>
      <w:pPr>
        <w:pStyle w:val="Compact"/>
        <w:numPr>
          <w:numId w:val="1002"/>
          <w:ilvl w:val="0"/>
        </w:numPr>
      </w:pPr>
      <w:r>
        <w:t xml:space="preserve">Figeacteurs</w:t>
      </w:r>
      <w:r>
        <w:t xml:space="preserve"> </w:t>
      </w:r>
      <w:r>
        <w:t xml:space="preserve">Candidature déposée en consortium avec :</w:t>
      </w:r>
      <w:r>
        <w:t xml:space="preserve"> </w:t>
      </w:r>
      <w:r>
        <w:t xml:space="preserve">-Lo&amp;Li</w:t>
      </w:r>
    </w:p>
    <w:p>
      <w:pPr>
        <w:pStyle w:val="Compact"/>
        <w:numPr>
          <w:numId w:val="1002"/>
          <w:ilvl w:val="0"/>
        </w:numPr>
      </w:pPr>
      <w:r>
        <w:t xml:space="preserve">Les Pieds en l’air à Figeac</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LABAZ (Albas)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4"/>
          <w:ilvl w:val="0"/>
        </w:numPr>
      </w:pPr>
      <w:r>
        <w:t xml:space="preserve">21 CNFS validés dans 17 structures d’accueil</w:t>
      </w:r>
    </w:p>
    <w:p>
      <w:pPr>
        <w:pStyle w:val="Compact"/>
        <w:numPr>
          <w:numId w:val="1004"/>
          <w:ilvl w:val="0"/>
        </w:numPr>
      </w:pPr>
      <w:r>
        <w:t xml:space="preserve">21 CNFS recrutés</w:t>
      </w:r>
    </w:p>
    <w:p>
      <w:pPr>
        <w:pStyle w:val="Compact"/>
        <w:numPr>
          <w:numId w:val="1004"/>
          <w:ilvl w:val="0"/>
        </w:numPr>
      </w:pPr>
      <w:r>
        <w:t xml:space="preserve">1 CNFS en formation</w:t>
      </w:r>
    </w:p>
    <w:p>
      <w:pPr>
        <w:pStyle w:val="Compact"/>
        <w:numPr>
          <w:numId w:val="1004"/>
          <w:ilvl w:val="0"/>
        </w:numPr>
      </w:pPr>
      <w:r>
        <w:t xml:space="preserve">16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14 structures candidates</w:t>
      </w:r>
    </w:p>
    <w:p>
      <w:pPr>
        <w:pStyle w:val="Compact"/>
        <w:numPr>
          <w:numId w:val="1005"/>
          <w:ilvl w:val="0"/>
        </w:numPr>
      </w:pPr>
      <w:r>
        <w:t xml:space="preserve">42 aidants à habiliter au total</w:t>
      </w:r>
    </w:p>
    <w:p>
      <w:pPr>
        <w:pStyle w:val="Compact"/>
        <w:numPr>
          <w:numId w:val="1005"/>
          <w:ilvl w:val="0"/>
        </w:numPr>
      </w:pPr>
      <w:r>
        <w:t xml:space="preserve">14 structures ont finalisé leur habilitation (38 aidants formés au 16 septembre 2024)</w:t>
      </w:r>
    </w:p>
    <w:p>
      <w:pPr>
        <w:pStyle w:val="Titre2"/>
      </w:pPr>
      <w:bookmarkStart w:id="29" w:name="bases-adresses-locales"/>
      <w:r>
        <w:t xml:space="preserve">Bases adresses locales</w:t>
      </w:r>
      <w:bookmarkEnd w:id="29"/>
    </w:p>
    <w:p>
      <w:pPr>
        <w:pStyle w:val="FirstParagraph"/>
      </w:pPr>
      <w:r>
        <w:t xml:space="preserve">251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2024-09-19T02:15:26Z</dcterms:created>
  <dcterms:modified xsi:type="dcterms:W3CDTF">2024-09-19T02:15:26Z</dcterms:modified>
</cp:coreProperties>
</file>

<file path=docProps/custom.xml><?xml version="1.0" encoding="utf-8"?>
<Properties xmlns="http://schemas.openxmlformats.org/officeDocument/2006/custom-properties" xmlns:vt="http://schemas.openxmlformats.org/officeDocument/2006/docPropsVTypes"/>
</file>