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loire-atlantique"/>
      <w:r>
        <w:t xml:space="preserve">Numérique «Loire-Atlantique»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«Pays de la Loire», 217 sites ont été identifiés dont 34 dans le</w:t>
      </w:r>
      <w:r>
        <w:t xml:space="preserve"> </w:t>
      </w:r>
      <w:r>
        <w:t xml:space="preserve">département, parmi eux, 21 ont d’ores et déjà été mis en</w:t>
      </w:r>
      <w:r>
        <w:t xml:space="preserve"> </w:t>
      </w:r>
      <w:r>
        <w:t xml:space="preserve">service (sur un total de 154 mis en service au niveau régional).</w:t>
      </w:r>
    </w:p>
    <w:p>
      <w:pPr>
        <w:pStyle w:val="Corpsdetexte"/>
      </w:pPr>
      <w:r>
        <w:t xml:space="preserve">Dans le cadre du dispositif 4G fixe, dans la région</w:t>
      </w:r>
      <w:r>
        <w:t xml:space="preserve"> </w:t>
      </w:r>
      <w:r>
        <w:t xml:space="preserve">«Pays de la Loire», 34 sites ont été identifiés dont 4 dans le</w:t>
      </w:r>
      <w:r>
        <w:t xml:space="preserve"> </w:t>
      </w:r>
      <w:r>
        <w:t xml:space="preserve">département, 4 ont déjà été mis en service</w:t>
      </w:r>
      <w:r>
        <w:t xml:space="preserve"> </w:t>
      </w:r>
      <w:r>
        <w:t xml:space="preserve">sur 25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308411"/>
            <wp:effectExtent b="0" l="0" r="0" t="0"/>
            <wp:docPr descr="" title="" id="1" name="Picture"/>
            <a:graphic>
              <a:graphicData uri="http://schemas.openxmlformats.org/drawingml/2006/picture">
                <pic:pic>
                  <pic:nvPicPr>
                    <pic:cNvPr descr="/srv/insitu/outbox/infographies/haut_débit/44.png" id="0" name="Picture"/>
                    <pic:cNvPicPr>
                      <a:picLocks noChangeArrowheads="1" noChangeAspect="1"/>
                    </pic:cNvPicPr>
                  </pic:nvPicPr>
                  <pic:blipFill>
                    <a:blip r:embed="rId23"/>
                    <a:stretch>
                      <a:fillRect/>
                    </a:stretch>
                  </pic:blipFill>
                  <pic:spPr bwMode="auto">
                    <a:xfrm>
                      <a:off x="0" y="0"/>
                      <a:ext cx="4572000" cy="2308411"/>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Orange et XP Fibre sur 45 communes ;</w:t>
      </w:r>
    </w:p>
    <w:p>
      <w:pPr>
        <w:pStyle w:val="Compact"/>
        <w:numPr>
          <w:numId w:val="1001"/>
          <w:ilvl w:val="0"/>
        </w:numPr>
      </w:pPr>
      <w:r>
        <w:t xml:space="preserve">celle de Loire-Atlantique Numérique dans la zone d’initiative publique qui comprend 236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226 646</w:t>
            </w:r>
            <w:r>
              <w:t xml:space="preserve"> </w:t>
            </w:r>
            <w:r>
              <w:rPr>
                <w:i/>
              </w:rPr>
              <w:t xml:space="preserve">25.0%</w:t>
            </w:r>
          </w:p>
        </w:tc>
        <w:tc>
          <w:p>
            <w:pPr>
              <w:pStyle w:val="Compact"/>
              <w:jc w:val="left"/>
            </w:pPr>
            <w:r>
              <w:t xml:space="preserve">204 651</w:t>
            </w:r>
            <w:r>
              <w:t xml:space="preserve"> </w:t>
            </w:r>
            <w:r>
              <w:rPr>
                <w:i/>
              </w:rPr>
              <w:t xml:space="preserve">90.0%</w:t>
            </w:r>
          </w:p>
        </w:tc>
      </w:tr>
      <w:tr>
        <w:tc>
          <w:p>
            <w:pPr>
              <w:pStyle w:val="Compact"/>
              <w:jc w:val="left"/>
            </w:pPr>
            <w:r>
              <w:t xml:space="preserve">Zone AMII</w:t>
            </w:r>
          </w:p>
        </w:tc>
        <w:tc>
          <w:p>
            <w:pPr>
              <w:pStyle w:val="Compact"/>
              <w:jc w:val="left"/>
            </w:pPr>
            <w:r>
              <w:t xml:space="preserve">370 044</w:t>
            </w:r>
            <w:r>
              <w:t xml:space="preserve"> </w:t>
            </w:r>
            <w:r>
              <w:rPr>
                <w:i/>
              </w:rPr>
              <w:t xml:space="preserve">40.0%</w:t>
            </w:r>
          </w:p>
        </w:tc>
        <w:tc>
          <w:p>
            <w:pPr>
              <w:pStyle w:val="Compact"/>
              <w:jc w:val="left"/>
            </w:pPr>
            <w:r>
              <w:t xml:space="preserve">334 940</w:t>
            </w:r>
            <w:r>
              <w:t xml:space="preserve"> </w:t>
            </w:r>
            <w:r>
              <w:rPr>
                <w:i/>
              </w:rPr>
              <w:t xml:space="preserve">91.0%</w:t>
            </w:r>
          </w:p>
        </w:tc>
      </w:tr>
      <w:tr>
        <w:tc>
          <w:p>
            <w:pPr>
              <w:pStyle w:val="Compact"/>
              <w:jc w:val="left"/>
            </w:pPr>
            <w:r>
              <w:t xml:space="preserve">Zone RIP</w:t>
            </w:r>
          </w:p>
        </w:tc>
        <w:tc>
          <w:p>
            <w:pPr>
              <w:pStyle w:val="Compact"/>
              <w:jc w:val="left"/>
            </w:pPr>
            <w:r>
              <w:t xml:space="preserve">327 641</w:t>
            </w:r>
            <w:r>
              <w:t xml:space="preserve"> </w:t>
            </w:r>
            <w:r>
              <w:rPr>
                <w:i/>
              </w:rPr>
              <w:t xml:space="preserve">35.0%</w:t>
            </w:r>
          </w:p>
        </w:tc>
        <w:tc>
          <w:p>
            <w:pPr>
              <w:pStyle w:val="Compact"/>
              <w:jc w:val="left"/>
            </w:pPr>
            <w:r>
              <w:t xml:space="preserve">263 571</w:t>
            </w:r>
            <w:r>
              <w:t xml:space="preserve"> </w:t>
            </w:r>
            <w:r>
              <w:rPr>
                <w:i/>
              </w:rPr>
              <w:t xml:space="preserve">80.0%</w:t>
            </w:r>
          </w:p>
        </w:tc>
      </w:tr>
      <w:tr>
        <w:tc>
          <w:p>
            <w:pPr>
              <w:pStyle w:val="Compact"/>
              <w:jc w:val="left"/>
            </w:pPr>
            <w:r>
              <w:rPr>
                <w:b/>
              </w:rPr>
              <w:t xml:space="preserve">Total</w:t>
            </w:r>
          </w:p>
        </w:tc>
        <w:tc>
          <w:p>
            <w:pPr>
              <w:pStyle w:val="Compact"/>
              <w:jc w:val="left"/>
            </w:pPr>
            <w:r>
              <w:t xml:space="preserve">924 331</w:t>
            </w:r>
            <w:r>
              <w:t xml:space="preserve"> </w:t>
            </w:r>
            <w:r>
              <w:rPr>
                <w:i/>
              </w:rPr>
              <w:t xml:space="preserve">100%</w:t>
            </w:r>
          </w:p>
        </w:tc>
        <w:tc>
          <w:p>
            <w:pPr>
              <w:pStyle w:val="Compact"/>
              <w:jc w:val="left"/>
            </w:pPr>
            <w:r>
              <w:t xml:space="preserve">803 162</w:t>
            </w:r>
            <w:r>
              <w:t xml:space="preserve"> </w:t>
            </w:r>
            <w:r>
              <w:rPr>
                <w:i/>
              </w:rPr>
              <w:t xml:space="preserve">87.0%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16 en région «Pays de la Loire» et 5 dans le département :</w:t>
      </w:r>
    </w:p>
    <w:p>
      <w:pPr>
        <w:pStyle w:val="Compact"/>
        <w:numPr>
          <w:numId w:val="1002"/>
          <w:ilvl w:val="0"/>
        </w:numPr>
      </w:pPr>
      <w:r>
        <w:t xml:space="preserve">Beau-Tiers-Lieu à Nantes</w:t>
      </w:r>
    </w:p>
    <w:p>
      <w:pPr>
        <w:pStyle w:val="Compact"/>
        <w:numPr>
          <w:numId w:val="1002"/>
          <w:ilvl w:val="0"/>
        </w:numPr>
      </w:pPr>
      <w:r>
        <w:t xml:space="preserve">PiNG à Nantes</w:t>
      </w:r>
    </w:p>
    <w:p>
      <w:pPr>
        <w:pStyle w:val="Compact"/>
        <w:numPr>
          <w:numId w:val="1002"/>
          <w:ilvl w:val="0"/>
        </w:numPr>
      </w:pPr>
      <w:r>
        <w:t xml:space="preserve">Plan B :</w:t>
      </w:r>
    </w:p>
    <w:p>
      <w:pPr>
        <w:pStyle w:val="FirstParagraph"/>
      </w:pPr>
      <w:r>
        <w:t xml:space="preserve">Association ID Numéric</w:t>
      </w:r>
      <w:r>
        <w:t xml:space="preserve"> </w:t>
      </w:r>
      <w:r>
        <w:t xml:space="preserve">Association Océan Régie de quartier</w:t>
      </w:r>
      <w:r>
        <w:t xml:space="preserve"> </w:t>
      </w:r>
      <w:r>
        <w:t xml:space="preserve">Collectif Marché Alternatif de Bellevue</w:t>
      </w:r>
      <w:r>
        <w:t xml:space="preserve"> </w:t>
      </w:r>
      <w:r>
        <w:t xml:space="preserve">Association Atelier Mobicréa</w:t>
      </w:r>
      <w:r>
        <w:t xml:space="preserve"> </w:t>
      </w:r>
      <w:r>
        <w:t xml:space="preserve">à Nantes</w:t>
      </w:r>
      <w:r>
        <w:t xml:space="preserve"> </w:t>
      </w:r>
      <w:r>
        <w:t xml:space="preserve">* Blue Lab Saint Nazaire à Saint-Nazaire</w:t>
      </w:r>
      <w:r>
        <w:t xml:space="preserve"> </w:t>
      </w:r>
      <w:r>
        <w:t xml:space="preserve">* SA COOPERATIVE IDEAL à Savenay</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Le Séchoir du Liveau, le tiers-lieu de production éco-créative, Route touristique du vignoble nantais (44) (Clisson)</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«Pays de la Loire» est couverte par le(s) Hub(s) :</w:t>
      </w:r>
      <w:r>
        <w:t xml:space="preserve"> </w:t>
      </w:r>
      <w:r>
        <w:t xml:space="preserve">Hub Conumm.</w:t>
      </w:r>
    </w:p>
    <w:p>
      <w:pPr>
        <w:pStyle w:val="Titre2"/>
      </w:pPr>
      <w:bookmarkStart w:id="27" w:name="conseillers-numériques"/>
      <w:r>
        <w:t xml:space="preserve">Conseillers numériques</w:t>
      </w:r>
      <w:bookmarkEnd w:id="27"/>
    </w:p>
    <w:p>
      <w:pPr>
        <w:pStyle w:val="Compact"/>
        <w:numPr>
          <w:numId w:val="1004"/>
          <w:ilvl w:val="0"/>
        </w:numPr>
      </w:pPr>
      <w:r>
        <w:t xml:space="preserve">50 CNFS validés dans 43 structures d’accueil</w:t>
      </w:r>
    </w:p>
    <w:p>
      <w:pPr>
        <w:pStyle w:val="Compact"/>
        <w:numPr>
          <w:numId w:val="1004"/>
          <w:ilvl w:val="0"/>
        </w:numPr>
      </w:pPr>
      <w:r>
        <w:t xml:space="preserve">43 CNFS recrutés</w:t>
      </w:r>
    </w:p>
    <w:p>
      <w:pPr>
        <w:pStyle w:val="Compact"/>
        <w:numPr>
          <w:numId w:val="1004"/>
          <w:ilvl w:val="0"/>
        </w:numPr>
      </w:pPr>
      <w:r>
        <w:t xml:space="preserve">0 CNFS en formation</w:t>
      </w:r>
    </w:p>
    <w:p>
      <w:pPr>
        <w:pStyle w:val="Compact"/>
        <w:numPr>
          <w:numId w:val="1004"/>
          <w:ilvl w:val="0"/>
        </w:numPr>
      </w:pPr>
      <w:r>
        <w:t xml:space="preserve">38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66 structures candidates</w:t>
      </w:r>
    </w:p>
    <w:p>
      <w:pPr>
        <w:pStyle w:val="Compact"/>
        <w:numPr>
          <w:numId w:val="1005"/>
          <w:ilvl w:val="0"/>
        </w:numPr>
      </w:pPr>
      <w:r>
        <w:t xml:space="preserve">228 aidants à habiliter au total</w:t>
      </w:r>
    </w:p>
    <w:p>
      <w:pPr>
        <w:pStyle w:val="Compact"/>
        <w:numPr>
          <w:numId w:val="1005"/>
          <w:ilvl w:val="0"/>
        </w:numPr>
      </w:pPr>
      <w:r>
        <w:t xml:space="preserve">62 structures ont finalisé leur habilitation (182 aidants formés au 16 septembre 2024)</w:t>
      </w:r>
    </w:p>
    <w:p>
      <w:pPr>
        <w:pStyle w:val="Titre2"/>
      </w:pPr>
      <w:bookmarkStart w:id="29" w:name="bases-adresses-locales"/>
      <w:r>
        <w:t xml:space="preserve">Bases adresses locales</w:t>
      </w:r>
      <w:bookmarkEnd w:id="29"/>
    </w:p>
    <w:p>
      <w:pPr>
        <w:pStyle w:val="FirstParagraph"/>
      </w:pPr>
      <w:r>
        <w:t xml:space="preserve">193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2024-09-19T02:15:22Z</dcterms:created>
  <dcterms:modified xsi:type="dcterms:W3CDTF">2024-09-19T02:15:22Z</dcterms:modified>
</cp:coreProperties>
</file>

<file path=docProps/custom.xml><?xml version="1.0" encoding="utf-8"?>
<Properties xmlns="http://schemas.openxmlformats.org/officeDocument/2006/custom-properties" xmlns:vt="http://schemas.openxmlformats.org/officeDocument/2006/docPropsVTypes"/>
</file>