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ire"/>
      <w:r>
        <w:t xml:space="preserve">Numérique «Loire»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57 dans le</w:t>
      </w:r>
      <w:r>
        <w:t xml:space="preserve"> </w:t>
      </w:r>
      <w:r>
        <w:t xml:space="preserve">département, parmi eux, 39 ont d’ores et déjà été mis en</w:t>
      </w:r>
      <w:r>
        <w:t xml:space="preserve"> </w:t>
      </w:r>
      <w:r>
        <w:t xml:space="preserve">service (sur un total de 541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42.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sur 48 communes ;</w:t>
      </w:r>
    </w:p>
    <w:p>
      <w:pPr>
        <w:pStyle w:val="Compact"/>
        <w:numPr>
          <w:numId w:val="1001"/>
          <w:ilvl w:val="0"/>
        </w:numPr>
      </w:pPr>
      <w:r>
        <w:t xml:space="preserve">celle de SIEL dans la zone d’initiative publique qui comprend 274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121 148</w:t>
            </w:r>
            <w:r>
              <w:t xml:space="preserve"> </w:t>
            </w:r>
            <w:r>
              <w:rPr>
                <w:i/>
              </w:rPr>
              <w:t xml:space="preserve">25.0%</w:t>
            </w:r>
          </w:p>
        </w:tc>
        <w:tc>
          <w:p>
            <w:pPr>
              <w:pStyle w:val="Compact"/>
              <w:jc w:val="left"/>
            </w:pPr>
            <w:r>
              <w:t xml:space="preserve">112 538</w:t>
            </w:r>
            <w:r>
              <w:t xml:space="preserve"> </w:t>
            </w:r>
            <w:r>
              <w:rPr>
                <w:i/>
              </w:rPr>
              <w:t xml:space="preserve">93.0%</w:t>
            </w:r>
          </w:p>
        </w:tc>
      </w:tr>
      <w:tr>
        <w:tc>
          <w:p>
            <w:pPr>
              <w:pStyle w:val="Compact"/>
              <w:jc w:val="left"/>
            </w:pPr>
            <w:r>
              <w:t xml:space="preserve">Zone AMII</w:t>
            </w:r>
          </w:p>
        </w:tc>
        <w:tc>
          <w:p>
            <w:pPr>
              <w:pStyle w:val="Compact"/>
              <w:jc w:val="left"/>
            </w:pPr>
            <w:r>
              <w:t xml:space="preserve">174 134</w:t>
            </w:r>
            <w:r>
              <w:t xml:space="preserve"> </w:t>
            </w:r>
            <w:r>
              <w:rPr>
                <w:i/>
              </w:rPr>
              <w:t xml:space="preserve">35.0%</w:t>
            </w:r>
          </w:p>
        </w:tc>
        <w:tc>
          <w:p>
            <w:pPr>
              <w:pStyle w:val="Compact"/>
              <w:jc w:val="left"/>
            </w:pPr>
            <w:r>
              <w:t xml:space="preserve">157 426</w:t>
            </w:r>
            <w:r>
              <w:t xml:space="preserve"> </w:t>
            </w:r>
            <w:r>
              <w:rPr>
                <w:i/>
              </w:rPr>
              <w:t xml:space="preserve">90.0%</w:t>
            </w:r>
          </w:p>
        </w:tc>
      </w:tr>
      <w:tr>
        <w:tc>
          <w:p>
            <w:pPr>
              <w:pStyle w:val="Compact"/>
              <w:jc w:val="left"/>
            </w:pPr>
            <w:r>
              <w:t xml:space="preserve">Zone RIP</w:t>
            </w:r>
          </w:p>
        </w:tc>
        <w:tc>
          <w:p>
            <w:pPr>
              <w:pStyle w:val="Compact"/>
              <w:jc w:val="left"/>
            </w:pPr>
            <w:r>
              <w:t xml:space="preserve">196 918</w:t>
            </w:r>
            <w:r>
              <w:t xml:space="preserve"> </w:t>
            </w:r>
            <w:r>
              <w:rPr>
                <w:i/>
              </w:rPr>
              <w:t xml:space="preserve">40.0%</w:t>
            </w:r>
          </w:p>
        </w:tc>
        <w:tc>
          <w:p>
            <w:pPr>
              <w:pStyle w:val="Compact"/>
              <w:jc w:val="left"/>
            </w:pPr>
            <w:r>
              <w:t xml:space="preserve">195 134</w:t>
            </w:r>
            <w:r>
              <w:t xml:space="preserve"> </w:t>
            </w:r>
            <w:r>
              <w:rPr>
                <w:i/>
              </w:rPr>
              <w:t xml:space="preserve">99.0%</w:t>
            </w:r>
          </w:p>
        </w:tc>
      </w:tr>
      <w:tr>
        <w:tc>
          <w:p>
            <w:pPr>
              <w:pStyle w:val="Compact"/>
              <w:jc w:val="left"/>
            </w:pPr>
            <w:r>
              <w:rPr>
                <w:b/>
              </w:rPr>
              <w:t xml:space="preserve">Total</w:t>
            </w:r>
          </w:p>
        </w:tc>
        <w:tc>
          <w:p>
            <w:pPr>
              <w:pStyle w:val="Compact"/>
              <w:jc w:val="left"/>
            </w:pPr>
            <w:r>
              <w:t xml:space="preserve">492 200</w:t>
            </w:r>
            <w:r>
              <w:t xml:space="preserve"> </w:t>
            </w:r>
            <w:r>
              <w:rPr>
                <w:i/>
              </w:rPr>
              <w:t xml:space="preserve">100%</w:t>
            </w:r>
          </w:p>
        </w:tc>
        <w:tc>
          <w:p>
            <w:pPr>
              <w:pStyle w:val="Compact"/>
              <w:jc w:val="left"/>
            </w:pPr>
            <w:r>
              <w:t xml:space="preserve">465 098</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5 dans le département :</w:t>
      </w:r>
    </w:p>
    <w:p>
      <w:pPr>
        <w:pStyle w:val="Compact"/>
        <w:numPr>
          <w:numId w:val="1002"/>
          <w:ilvl w:val="0"/>
        </w:numPr>
      </w:pPr>
      <w:r>
        <w:t xml:space="preserve">TIERS-LIEU PAYSAN DE LA MARTINIÈRE à Ambierle</w:t>
      </w:r>
    </w:p>
    <w:p>
      <w:pPr>
        <w:pStyle w:val="Compact"/>
        <w:numPr>
          <w:numId w:val="1002"/>
          <w:ilvl w:val="0"/>
        </w:numPr>
      </w:pPr>
      <w:r>
        <w:t xml:space="preserve">Association Les Amis du Treuil à Chambœuf</w:t>
      </w:r>
    </w:p>
    <w:p>
      <w:pPr>
        <w:pStyle w:val="Compact"/>
        <w:numPr>
          <w:numId w:val="1002"/>
          <w:ilvl w:val="0"/>
        </w:numPr>
      </w:pPr>
      <w:r>
        <w:t xml:space="preserve">Crefad Loire à Saint-Étienne</w:t>
      </w:r>
    </w:p>
    <w:p>
      <w:pPr>
        <w:pStyle w:val="Compact"/>
        <w:numPr>
          <w:numId w:val="1002"/>
          <w:ilvl w:val="0"/>
        </w:numPr>
      </w:pPr>
      <w:r>
        <w:t xml:space="preserve">La Fabuleuse Cantine à Saint-Étienne</w:t>
      </w:r>
    </w:p>
    <w:p>
      <w:pPr>
        <w:pStyle w:val="Compact"/>
        <w:numPr>
          <w:numId w:val="1002"/>
          <w:ilvl w:val="0"/>
        </w:numPr>
      </w:pPr>
      <w:r>
        <w:t xml:space="preserve">Rues du Développement Durable à Saint-Étienne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Espace-test en archipel à Saint-Étienne (Saint-Étienne)</w:t>
      </w:r>
    </w:p>
    <w:p>
      <w:pPr>
        <w:pStyle w:val="Compact"/>
        <w:numPr>
          <w:numId w:val="1003"/>
          <w:ilvl w:val="0"/>
        </w:numPr>
      </w:pPr>
      <w:r>
        <w:t xml:space="preserve">LA TURBINE CREATIVE (Doizieux)</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45 CNFS validés dans 29 structures d’accueil</w:t>
      </w:r>
    </w:p>
    <w:p>
      <w:pPr>
        <w:pStyle w:val="Compact"/>
        <w:numPr>
          <w:numId w:val="1004"/>
          <w:ilvl w:val="0"/>
        </w:numPr>
      </w:pPr>
      <w:r>
        <w:t xml:space="preserve">34 CNFS recrutés</w:t>
      </w:r>
    </w:p>
    <w:p>
      <w:pPr>
        <w:pStyle w:val="Compact"/>
        <w:numPr>
          <w:numId w:val="1004"/>
          <w:ilvl w:val="0"/>
        </w:numPr>
      </w:pPr>
      <w:r>
        <w:t xml:space="preserve">0 CNFS en formation</w:t>
      </w:r>
    </w:p>
    <w:p>
      <w:pPr>
        <w:pStyle w:val="Compact"/>
        <w:numPr>
          <w:numId w:val="1004"/>
          <w:ilvl w:val="0"/>
        </w:numPr>
      </w:pPr>
      <w:r>
        <w:t xml:space="preserve">28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66 structures candidates</w:t>
      </w:r>
    </w:p>
    <w:p>
      <w:pPr>
        <w:pStyle w:val="Compact"/>
        <w:numPr>
          <w:numId w:val="1005"/>
          <w:ilvl w:val="0"/>
        </w:numPr>
      </w:pPr>
      <w:r>
        <w:t xml:space="preserve">222 aidants à habiliter au total</w:t>
      </w:r>
    </w:p>
    <w:p>
      <w:pPr>
        <w:pStyle w:val="Compact"/>
        <w:numPr>
          <w:numId w:val="1005"/>
          <w:ilvl w:val="0"/>
        </w:numPr>
      </w:pPr>
      <w:r>
        <w:t xml:space="preserve">66 structures ont finalisé leur habilitation (286 aidants formés au 16 septembre 2024)</w:t>
      </w:r>
    </w:p>
    <w:p>
      <w:pPr>
        <w:pStyle w:val="Titre2"/>
      </w:pPr>
      <w:bookmarkStart w:id="29" w:name="bases-adresses-locales"/>
      <w:r>
        <w:t xml:space="preserve">Bases adresses locales</w:t>
      </w:r>
      <w:bookmarkEnd w:id="29"/>
    </w:p>
    <w:p>
      <w:pPr>
        <w:pStyle w:val="FirstParagraph"/>
      </w:pPr>
      <w:r>
        <w:t xml:space="preserve">252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2024-09-19T02:15:18Z</dcterms:created>
  <dcterms:modified xsi:type="dcterms:W3CDTF">2024-09-19T02:15:18Z</dcterms:modified>
</cp:coreProperties>
</file>

<file path=docProps/custom.xml><?xml version="1.0" encoding="utf-8"?>
<Properties xmlns="http://schemas.openxmlformats.org/officeDocument/2006/custom-properties" xmlns:vt="http://schemas.openxmlformats.org/officeDocument/2006/docPropsVTypes"/>
</file>