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landes"/>
      <w:r>
        <w:t xml:space="preserve">Numérique «Landes»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«Nouvelle-Aquitaine», 536 sites ont été identifiés dont 34 dans le</w:t>
      </w:r>
      <w:r>
        <w:t xml:space="preserve"> </w:t>
      </w:r>
      <w:r>
        <w:t xml:space="preserve">département, parmi eux, 18 ont d’ores et déjà été mis en</w:t>
      </w:r>
      <w:r>
        <w:t xml:space="preserve"> </w:t>
      </w:r>
      <w:r>
        <w:t xml:space="preserve">service (sur un total de 350 mis en service au niveau régional).</w:t>
      </w:r>
    </w:p>
    <w:p>
      <w:pPr>
        <w:pStyle w:val="Corpsdetexte"/>
      </w:pPr>
      <w:r>
        <w:t xml:space="preserve">Dans le cadre du dispositif 4G fixe, dans la région</w:t>
      </w:r>
      <w:r>
        <w:t xml:space="preserve"> </w:t>
      </w:r>
      <w:r>
        <w:t xml:space="preserve">«Nouvelle-Aquitaine», 239 sites ont été identifiés dont 31 dans le</w:t>
      </w:r>
      <w:r>
        <w:t xml:space="preserve"> </w:t>
      </w:r>
      <w:r>
        <w:t xml:space="preserve">département, 21 ont déjà été mis en service</w:t>
      </w:r>
      <w:r>
        <w:t xml:space="preserve"> </w:t>
      </w:r>
      <w:r>
        <w:t xml:space="preserve">sur 172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63442"/>
            <wp:effectExtent b="0" l="0" r="0" t="0"/>
            <wp:docPr descr="" title="" id="1" name="Picture"/>
            <a:graphic>
              <a:graphicData uri="http://schemas.openxmlformats.org/drawingml/2006/picture">
                <pic:pic>
                  <pic:nvPicPr>
                    <pic:cNvPr descr="/srv/insitu/outbox/infographies/haut_débit/40.png" id="0" name="Picture"/>
                    <pic:cNvPicPr>
                      <a:picLocks noChangeArrowheads="1" noChangeAspect="1"/>
                    </pic:cNvPicPr>
                  </pic:nvPicPr>
                  <pic:blipFill>
                    <a:blip r:embed="rId23"/>
                    <a:stretch>
                      <a:fillRect/>
                    </a:stretch>
                  </pic:blipFill>
                  <pic:spPr bwMode="auto">
                    <a:xfrm>
                      <a:off x="0" y="0"/>
                      <a:ext cx="4572000" cy="2363442"/>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Altitude et Axione sur 215 communes ;</w:t>
      </w:r>
    </w:p>
    <w:p>
      <w:pPr>
        <w:pStyle w:val="Compact"/>
        <w:numPr>
          <w:numId w:val="1001"/>
          <w:ilvl w:val="0"/>
        </w:numPr>
      </w:pPr>
      <w:r>
        <w:t xml:space="preserve">celle de Orange sur 18 communes ;</w:t>
      </w:r>
    </w:p>
    <w:p>
      <w:pPr>
        <w:pStyle w:val="Compact"/>
        <w:numPr>
          <w:numId w:val="1001"/>
          <w:ilvl w:val="0"/>
        </w:numPr>
      </w:pPr>
      <w:r>
        <w:t xml:space="preserve">celle de Communauté d’agglomération du Grand Dax et SYDEC dans la zone d’initiative publique qui comprend 144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122 349</w:t>
            </w:r>
            <w:r>
              <w:t xml:space="preserve"> </w:t>
            </w:r>
            <w:r>
              <w:rPr>
                <w:i/>
              </w:rPr>
              <w:t xml:space="preserve">39.0%</w:t>
            </w:r>
          </w:p>
        </w:tc>
        <w:tc>
          <w:p>
            <w:pPr>
              <w:pStyle w:val="Compact"/>
              <w:jc w:val="left"/>
            </w:pPr>
            <w:r>
              <w:t xml:space="preserve">107 619</w:t>
            </w:r>
            <w:r>
              <w:t xml:space="preserve"> </w:t>
            </w:r>
            <w:r>
              <w:rPr>
                <w:i/>
              </w:rPr>
              <w:t xml:space="preserve">88.0%</w:t>
            </w:r>
          </w:p>
        </w:tc>
      </w:tr>
      <w:tr>
        <w:tc>
          <w:p>
            <w:pPr>
              <w:pStyle w:val="Compact"/>
              <w:jc w:val="left"/>
            </w:pPr>
            <w:r>
              <w:t xml:space="preserve">Zone AMII</w:t>
            </w:r>
          </w:p>
        </w:tc>
        <w:tc>
          <w:p>
            <w:pPr>
              <w:pStyle w:val="Compact"/>
              <w:jc w:val="left"/>
            </w:pPr>
            <w:r>
              <w:t xml:space="preserve">35 560</w:t>
            </w:r>
            <w:r>
              <w:t xml:space="preserve"> </w:t>
            </w:r>
            <w:r>
              <w:rPr>
                <w:i/>
              </w:rPr>
              <w:t xml:space="preserve">11.0%</w:t>
            </w:r>
          </w:p>
        </w:tc>
        <w:tc>
          <w:p>
            <w:pPr>
              <w:pStyle w:val="Compact"/>
              <w:jc w:val="left"/>
            </w:pPr>
            <w:r>
              <w:t xml:space="preserve">33 322</w:t>
            </w:r>
            <w:r>
              <w:t xml:space="preserve"> </w:t>
            </w:r>
            <w:r>
              <w:rPr>
                <w:i/>
              </w:rPr>
              <w:t xml:space="preserve">94.0%</w:t>
            </w:r>
          </w:p>
        </w:tc>
      </w:tr>
      <w:tr>
        <w:tc>
          <w:p>
            <w:pPr>
              <w:pStyle w:val="Compact"/>
              <w:jc w:val="left"/>
            </w:pPr>
            <w:r>
              <w:t xml:space="preserve">Zone RIP</w:t>
            </w:r>
          </w:p>
        </w:tc>
        <w:tc>
          <w:p>
            <w:pPr>
              <w:pStyle w:val="Compact"/>
              <w:jc w:val="left"/>
            </w:pPr>
            <w:r>
              <w:t xml:space="preserve">158 101</w:t>
            </w:r>
            <w:r>
              <w:t xml:space="preserve"> </w:t>
            </w:r>
            <w:r>
              <w:rPr>
                <w:i/>
              </w:rPr>
              <w:t xml:space="preserve">50.0%</w:t>
            </w:r>
          </w:p>
        </w:tc>
        <w:tc>
          <w:p>
            <w:pPr>
              <w:pStyle w:val="Compact"/>
              <w:jc w:val="left"/>
            </w:pPr>
            <w:r>
              <w:t xml:space="preserve">131 566</w:t>
            </w:r>
            <w:r>
              <w:t xml:space="preserve"> </w:t>
            </w:r>
            <w:r>
              <w:rPr>
                <w:i/>
              </w:rPr>
              <w:t xml:space="preserve">83.0%</w:t>
            </w:r>
          </w:p>
        </w:tc>
      </w:tr>
      <w:tr>
        <w:tc>
          <w:p>
            <w:pPr>
              <w:pStyle w:val="Compact"/>
              <w:jc w:val="left"/>
            </w:pPr>
            <w:r>
              <w:rPr>
                <w:b/>
              </w:rPr>
              <w:t xml:space="preserve">Total</w:t>
            </w:r>
          </w:p>
        </w:tc>
        <w:tc>
          <w:p>
            <w:pPr>
              <w:pStyle w:val="Compact"/>
              <w:jc w:val="left"/>
            </w:pPr>
            <w:r>
              <w:t xml:space="preserve">316 010</w:t>
            </w:r>
            <w:r>
              <w:t xml:space="preserve"> </w:t>
            </w:r>
            <w:r>
              <w:rPr>
                <w:i/>
              </w:rPr>
              <w:t xml:space="preserve">100%</w:t>
            </w:r>
          </w:p>
        </w:tc>
        <w:tc>
          <w:p>
            <w:pPr>
              <w:pStyle w:val="Compact"/>
              <w:jc w:val="left"/>
            </w:pPr>
            <w:r>
              <w:t xml:space="preserve">272 507</w:t>
            </w:r>
            <w:r>
              <w:t xml:space="preserve"> </w:t>
            </w:r>
            <w:r>
              <w:rPr>
                <w:i/>
              </w:rPr>
              <w:t xml:space="preserve">86.0%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30 en région «Nouvelle-Aquitaine» et 3 dans le département :</w:t>
      </w:r>
    </w:p>
    <w:p>
      <w:pPr>
        <w:pStyle w:val="Compact"/>
        <w:numPr>
          <w:numId w:val="1002"/>
          <w:ilvl w:val="0"/>
        </w:numPr>
      </w:pPr>
      <w:r>
        <w:t xml:space="preserve">TRAVERSES PARCOURS à Mont-de-Marsan</w:t>
      </w:r>
    </w:p>
    <w:p>
      <w:pPr>
        <w:pStyle w:val="Compact"/>
        <w:numPr>
          <w:numId w:val="1002"/>
          <w:ilvl w:val="0"/>
        </w:numPr>
      </w:pPr>
      <w:r>
        <w:t xml:space="preserve">La Smalah à Saint-Julien-en-Born</w:t>
      </w:r>
    </w:p>
    <w:p>
      <w:pPr>
        <w:pStyle w:val="Compact"/>
        <w:numPr>
          <w:numId w:val="1002"/>
          <w:ilvl w:val="0"/>
        </w:numPr>
      </w:pPr>
      <w:r>
        <w:t xml:space="preserve">L’Établi à Soustons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du Born (Saint-Julien-en-Born)</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«Nouvelle-Aquitaine» est couverte par le(s) Hub(s) :</w:t>
      </w:r>
      <w:r>
        <w:t xml:space="preserve"> </w:t>
      </w:r>
      <w:r>
        <w:t xml:space="preserve">HUBe-RT et Hubik.</w:t>
      </w:r>
    </w:p>
    <w:p>
      <w:pPr>
        <w:pStyle w:val="Titre2"/>
      </w:pPr>
      <w:bookmarkStart w:id="27" w:name="conseillers-numériques"/>
      <w:r>
        <w:t xml:space="preserve">Conseillers numériques</w:t>
      </w:r>
      <w:bookmarkEnd w:id="27"/>
    </w:p>
    <w:p>
      <w:pPr>
        <w:pStyle w:val="Compact"/>
        <w:numPr>
          <w:numId w:val="1004"/>
          <w:ilvl w:val="0"/>
        </w:numPr>
      </w:pPr>
      <w:r>
        <w:t xml:space="preserve">34 CNFS validés dans 27 structures d’accueil</w:t>
      </w:r>
    </w:p>
    <w:p>
      <w:pPr>
        <w:pStyle w:val="Compact"/>
        <w:numPr>
          <w:numId w:val="1004"/>
          <w:ilvl w:val="0"/>
        </w:numPr>
      </w:pPr>
      <w:r>
        <w:t xml:space="preserve">30 CNFS recrutés</w:t>
      </w:r>
    </w:p>
    <w:p>
      <w:pPr>
        <w:pStyle w:val="Compact"/>
        <w:numPr>
          <w:numId w:val="1004"/>
          <w:ilvl w:val="0"/>
        </w:numPr>
      </w:pPr>
      <w:r>
        <w:t xml:space="preserve">2 CNFS en formation</w:t>
      </w:r>
    </w:p>
    <w:p>
      <w:pPr>
        <w:pStyle w:val="Compact"/>
        <w:numPr>
          <w:numId w:val="1004"/>
          <w:ilvl w:val="0"/>
        </w:numPr>
      </w:pPr>
      <w:r>
        <w:t xml:space="preserve">24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70 structures candidates</w:t>
      </w:r>
    </w:p>
    <w:p>
      <w:pPr>
        <w:pStyle w:val="Compact"/>
        <w:numPr>
          <w:numId w:val="1005"/>
          <w:ilvl w:val="0"/>
        </w:numPr>
      </w:pPr>
      <w:r>
        <w:t xml:space="preserve">191 aidants à habiliter au total</w:t>
      </w:r>
    </w:p>
    <w:p>
      <w:pPr>
        <w:pStyle w:val="Compact"/>
        <w:numPr>
          <w:numId w:val="1005"/>
          <w:ilvl w:val="0"/>
        </w:numPr>
      </w:pPr>
      <w:r>
        <w:t xml:space="preserve">67 structures ont finalisé leur habilitation (196 aidants formés au 16 septembre 2024)</w:t>
      </w:r>
    </w:p>
    <w:p>
      <w:pPr>
        <w:pStyle w:val="Titre2"/>
      </w:pPr>
      <w:bookmarkStart w:id="29" w:name="bases-adresses-locales"/>
      <w:r>
        <w:t xml:space="preserve">Bases adresses locales</w:t>
      </w:r>
      <w:bookmarkEnd w:id="29"/>
    </w:p>
    <w:p>
      <w:pPr>
        <w:pStyle w:val="FirstParagraph"/>
      </w:pPr>
      <w:r>
        <w:t xml:space="preserve">166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2024-09-19T02:15:15Z</dcterms:created>
  <dcterms:modified xsi:type="dcterms:W3CDTF">2024-09-19T02:15:15Z</dcterms:modified>
</cp:coreProperties>
</file>

<file path=docProps/custom.xml><?xml version="1.0" encoding="utf-8"?>
<Properties xmlns="http://schemas.openxmlformats.org/officeDocument/2006/custom-properties" xmlns:vt="http://schemas.openxmlformats.org/officeDocument/2006/docPropsVTypes"/>
</file>