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jura"/>
      <w:r>
        <w:t xml:space="preserve">Numérique «Jura»</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«Bourgogne-Franche-Comté», 452 sites ont été identifiés dont 55 dans le</w:t>
      </w:r>
      <w:r>
        <w:t xml:space="preserve"> </w:t>
      </w:r>
      <w:r>
        <w:t xml:space="preserve">département, parmi eux, 30 ont d’ores et déjà été mis en</w:t>
      </w:r>
      <w:r>
        <w:t xml:space="preserve"> </w:t>
      </w:r>
      <w:r>
        <w:t xml:space="preserve">service (sur un total de 304 mis en service au niveau régional).</w:t>
      </w:r>
    </w:p>
    <w:p>
      <w:pPr>
        <w:pStyle w:val="Corpsdetexte"/>
      </w:pPr>
      <w:r>
        <w:t xml:space="preserve">Dans le cadre du dispositif 4G fixe, dans la région</w:t>
      </w:r>
      <w:r>
        <w:t xml:space="preserve"> </w:t>
      </w:r>
      <w:r>
        <w:t xml:space="preserve">«Bourgogne-Franche-Comté», 87 sites ont été identifiés dont 13 dans le</w:t>
      </w:r>
      <w:r>
        <w:t xml:space="preserve"> </w:t>
      </w:r>
      <w:r>
        <w:t xml:space="preserve">département, 6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430534"/>
            <wp:effectExtent b="0" l="0" r="0" t="0"/>
            <wp:docPr descr="" title="" id="1" name="Picture"/>
            <a:graphic>
              <a:graphicData uri="http://schemas.openxmlformats.org/drawingml/2006/picture">
                <pic:pic>
                  <pic:nvPicPr>
                    <pic:cNvPr descr="/srv/insitu/outbox/infographies/haut_débit/39.png" id="0" name="Picture"/>
                    <pic:cNvPicPr>
                      <a:picLocks noChangeArrowheads="1" noChangeAspect="1"/>
                    </pic:cNvPicPr>
                  </pic:nvPicPr>
                  <pic:blipFill>
                    <a:blip r:embed="rId23"/>
                    <a:stretch>
                      <a:fillRect/>
                    </a:stretch>
                  </pic:blipFill>
                  <pic:spPr bwMode="auto">
                    <a:xfrm>
                      <a:off x="0" y="0"/>
                      <a:ext cx="4572000" cy="243053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24 communes ;</w:t>
      </w:r>
    </w:p>
    <w:p>
      <w:pPr>
        <w:pStyle w:val="Compact"/>
        <w:numPr>
          <w:numId w:val="1001"/>
          <w:ilvl w:val="0"/>
        </w:numPr>
      </w:pPr>
      <w:r>
        <w:t xml:space="preserve">celle de CD Jura et SPL Bourgogne-Franche-Comté Numérique dans la zone d’initiative publique qui comprend 571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41 527</w:t>
            </w:r>
            <w:r>
              <w:t xml:space="preserve"> </w:t>
            </w:r>
            <w:r>
              <w:rPr>
                <w:i/>
              </w:rPr>
              <w:t xml:space="preserve">22.0%</w:t>
            </w:r>
          </w:p>
        </w:tc>
        <w:tc>
          <w:p>
            <w:pPr>
              <w:pStyle w:val="Compact"/>
              <w:jc w:val="left"/>
            </w:pPr>
            <w:r>
              <w:t xml:space="preserve">34 772</w:t>
            </w:r>
            <w:r>
              <w:t xml:space="preserve"> </w:t>
            </w:r>
            <w:r>
              <w:rPr>
                <w:i/>
              </w:rPr>
              <w:t xml:space="preserve">84.0%</w:t>
            </w:r>
          </w:p>
        </w:tc>
      </w:tr>
      <w:tr>
        <w:tc>
          <w:p>
            <w:pPr>
              <w:pStyle w:val="Compact"/>
              <w:jc w:val="left"/>
            </w:pPr>
            <w:r>
              <w:t xml:space="preserve">Zone RIP</w:t>
            </w:r>
          </w:p>
        </w:tc>
        <w:tc>
          <w:p>
            <w:pPr>
              <w:pStyle w:val="Compact"/>
              <w:jc w:val="left"/>
            </w:pPr>
            <w:r>
              <w:t xml:space="preserve">144 616</w:t>
            </w:r>
            <w:r>
              <w:t xml:space="preserve"> </w:t>
            </w:r>
            <w:r>
              <w:rPr>
                <w:i/>
              </w:rPr>
              <w:t xml:space="preserve">78.0%</w:t>
            </w:r>
          </w:p>
        </w:tc>
        <w:tc>
          <w:p>
            <w:pPr>
              <w:pStyle w:val="Compact"/>
              <w:jc w:val="left"/>
            </w:pPr>
            <w:r>
              <w:t xml:space="preserve">107 895</w:t>
            </w:r>
            <w:r>
              <w:t xml:space="preserve"> </w:t>
            </w:r>
            <w:r>
              <w:rPr>
                <w:i/>
              </w:rPr>
              <w:t xml:space="preserve">75.0%</w:t>
            </w:r>
          </w:p>
        </w:tc>
      </w:tr>
      <w:tr>
        <w:tc>
          <w:p>
            <w:pPr>
              <w:pStyle w:val="Compact"/>
              <w:jc w:val="left"/>
            </w:pPr>
            <w:r>
              <w:rPr>
                <w:b/>
              </w:rPr>
              <w:t xml:space="preserve">Total</w:t>
            </w:r>
          </w:p>
        </w:tc>
        <w:tc>
          <w:p>
            <w:pPr>
              <w:pStyle w:val="Compact"/>
              <w:jc w:val="left"/>
            </w:pPr>
            <w:r>
              <w:t xml:space="preserve">186 143</w:t>
            </w:r>
            <w:r>
              <w:t xml:space="preserve"> </w:t>
            </w:r>
            <w:r>
              <w:rPr>
                <w:i/>
              </w:rPr>
              <w:t xml:space="preserve">100%</w:t>
            </w:r>
          </w:p>
        </w:tc>
        <w:tc>
          <w:p>
            <w:pPr>
              <w:pStyle w:val="Compact"/>
              <w:jc w:val="left"/>
            </w:pPr>
            <w:r>
              <w:t xml:space="preserve">142 667</w:t>
            </w:r>
            <w:r>
              <w:t xml:space="preserve"> </w:t>
            </w:r>
            <w:r>
              <w:rPr>
                <w:i/>
              </w:rPr>
              <w:t xml:space="preserve">77.0%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17 en région «Bourgogne-Franche-Comté» et 2 dans le département :</w:t>
      </w:r>
    </w:p>
    <w:p>
      <w:pPr>
        <w:pStyle w:val="Compact"/>
        <w:numPr>
          <w:numId w:val="1002"/>
          <w:ilvl w:val="0"/>
        </w:numPr>
      </w:pPr>
      <w:r>
        <w:t xml:space="preserve">Clus’Ter Jura</w:t>
      </w:r>
    </w:p>
    <w:p>
      <w:pPr>
        <w:pStyle w:val="Compact"/>
        <w:numPr>
          <w:numId w:val="1002"/>
          <w:ilvl w:val="0"/>
        </w:numPr>
      </w:pPr>
      <w:r>
        <w:t xml:space="preserve">au nom du collectif Clus’Ter Jura + Communauté de Communes Petite Montagne + Fablab Made in Iki + Fablab La Fabrik Adapemont à Conliège</w:t>
      </w:r>
    </w:p>
    <w:p>
      <w:pPr>
        <w:pStyle w:val="Compact"/>
        <w:numPr>
          <w:numId w:val="1002"/>
          <w:ilvl w:val="0"/>
        </w:numPr>
      </w:pPr>
      <w:r>
        <w:t xml:space="preserve">ECLA, Lons agglomération à Gigny</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Dossier de candidature à l’appel à manifestation d’intérêt pour soutenir les manufactures de proximité (Saint-Claude)</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«Bourgogne-Franche-Comté» est couverte par le(s) Hub(s) :</w:t>
      </w:r>
      <w:r>
        <w:t xml:space="preserve"> </w:t>
      </w:r>
      <w:r>
        <w:t xml:space="preserve">Hub MedNum BFC.</w:t>
      </w:r>
    </w:p>
    <w:p>
      <w:pPr>
        <w:pStyle w:val="Titre2"/>
      </w:pPr>
      <w:bookmarkStart w:id="27" w:name="conseillers-numériques"/>
      <w:r>
        <w:t xml:space="preserve">Conseillers numériques</w:t>
      </w:r>
      <w:bookmarkEnd w:id="27"/>
    </w:p>
    <w:p>
      <w:pPr>
        <w:pStyle w:val="Compact"/>
        <w:numPr>
          <w:numId w:val="1004"/>
          <w:ilvl w:val="0"/>
        </w:numPr>
      </w:pPr>
      <w:r>
        <w:t xml:space="preserve">19 CNFS validés dans 14 structures d’accueil</w:t>
      </w:r>
    </w:p>
    <w:p>
      <w:pPr>
        <w:pStyle w:val="Compact"/>
        <w:numPr>
          <w:numId w:val="1004"/>
          <w:ilvl w:val="0"/>
        </w:numPr>
      </w:pPr>
      <w:r>
        <w:t xml:space="preserve">15 CNFS recrutés</w:t>
      </w:r>
    </w:p>
    <w:p>
      <w:pPr>
        <w:pStyle w:val="Compact"/>
        <w:numPr>
          <w:numId w:val="1004"/>
          <w:ilvl w:val="0"/>
        </w:numPr>
      </w:pPr>
      <w:r>
        <w:t xml:space="preserve">0 CNFS en formation</w:t>
      </w:r>
    </w:p>
    <w:p>
      <w:pPr>
        <w:pStyle w:val="Compact"/>
        <w:numPr>
          <w:numId w:val="1004"/>
          <w:ilvl w:val="0"/>
        </w:numPr>
      </w:pPr>
      <w:r>
        <w:t xml:space="preserve">12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20 structures candidates</w:t>
      </w:r>
    </w:p>
    <w:p>
      <w:pPr>
        <w:pStyle w:val="Compact"/>
        <w:numPr>
          <w:numId w:val="1005"/>
          <w:ilvl w:val="0"/>
        </w:numPr>
      </w:pPr>
      <w:r>
        <w:t xml:space="preserve">42 aidants à habiliter au total</w:t>
      </w:r>
    </w:p>
    <w:p>
      <w:pPr>
        <w:pStyle w:val="Compact"/>
        <w:numPr>
          <w:numId w:val="1005"/>
          <w:ilvl w:val="0"/>
        </w:numPr>
      </w:pPr>
      <w:r>
        <w:t xml:space="preserve">20 structures ont finalisé leur habilitation (43 aidants formés au 16 septembre 2024)</w:t>
      </w:r>
    </w:p>
    <w:p>
      <w:pPr>
        <w:pStyle w:val="Titre2"/>
      </w:pPr>
      <w:bookmarkStart w:id="29" w:name="bases-adresses-locales"/>
      <w:r>
        <w:t xml:space="preserve">Bases adresses locales</w:t>
      </w:r>
      <w:bookmarkEnd w:id="29"/>
    </w:p>
    <w:p>
      <w:pPr>
        <w:pStyle w:val="FirstParagraph"/>
      </w:pPr>
      <w:r>
        <w:t xml:space="preserve">384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2024-09-19T02:15:14Z</dcterms:created>
  <dcterms:modified xsi:type="dcterms:W3CDTF">2024-09-19T02:15:14Z</dcterms:modified>
</cp:coreProperties>
</file>

<file path=docProps/custom.xml><?xml version="1.0" encoding="utf-8"?>
<Properties xmlns="http://schemas.openxmlformats.org/officeDocument/2006/custom-properties" xmlns:vt="http://schemas.openxmlformats.org/officeDocument/2006/docPropsVTypes"/>
</file>