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isère"/>
      <w:r>
        <w:t xml:space="preserve">Numérique «Isère»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«Auvergne-Rhône-Alpes», 860 sites ont été identifiés dont 60 dans le</w:t>
      </w:r>
      <w:r>
        <w:t xml:space="preserve"> </w:t>
      </w:r>
      <w:r>
        <w:t xml:space="preserve">département, parmi eux, 35 ont d’ores et déjà été mis en</w:t>
      </w:r>
      <w:r>
        <w:t xml:space="preserve"> </w:t>
      </w:r>
      <w:r>
        <w:t xml:space="preserve">service (sur un total de 541 mis en service au niveau régional).</w:t>
      </w:r>
    </w:p>
    <w:p>
      <w:pPr>
        <w:pStyle w:val="Corpsdetexte"/>
      </w:pPr>
      <w:r>
        <w:t xml:space="preserve">Dans le cadre du dispositif 4G fixe, dans la région</w:t>
      </w:r>
      <w:r>
        <w:t xml:space="preserve"> </w:t>
      </w:r>
      <w:r>
        <w:t xml:space="preserve">«Auvergne-Rhône-Alpes», 115 sites ont été identifiés dont 8 dans le</w:t>
      </w:r>
      <w:r>
        <w:t xml:space="preserve"> </w:t>
      </w:r>
      <w:r>
        <w:t xml:space="preserve">département, 7 ont déjà été mis en service</w:t>
      </w:r>
      <w:r>
        <w:t xml:space="preserve"> </w:t>
      </w:r>
      <w:r>
        <w:t xml:space="preserve">sur 59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99956"/>
            <wp:effectExtent b="0" l="0" r="0" t="0"/>
            <wp:docPr descr="" title="" id="1" name="Picture"/>
            <a:graphic>
              <a:graphicData uri="http://schemas.openxmlformats.org/drawingml/2006/picture">
                <pic:pic>
                  <pic:nvPicPr>
                    <pic:cNvPr descr="/srv/insitu/outbox/infographies/haut_débit/38.png" id="0" name="Picture"/>
                    <pic:cNvPicPr>
                      <a:picLocks noChangeArrowheads="1" noChangeAspect="1"/>
                    </pic:cNvPicPr>
                  </pic:nvPicPr>
                  <pic:blipFill>
                    <a:blip r:embed="rId23"/>
                    <a:stretch>
                      <a:fillRect/>
                    </a:stretch>
                  </pic:blipFill>
                  <pic:spPr bwMode="auto">
                    <a:xfrm>
                      <a:off x="0" y="0"/>
                      <a:ext cx="4572000" cy="2299956"/>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3 initiatives complémentaires :</w:t>
      </w:r>
    </w:p>
    <w:p>
      <w:pPr>
        <w:pStyle w:val="Compact"/>
        <w:numPr>
          <w:numId w:val="1001"/>
          <w:ilvl w:val="0"/>
        </w:numPr>
      </w:pPr>
      <w:r>
        <w:t xml:space="preserve">L’initiative privée des opérateurs dans la zone très dense, qui comprend 5 communes ;</w:t>
      </w:r>
    </w:p>
    <w:p>
      <w:pPr>
        <w:pStyle w:val="Compact"/>
        <w:numPr>
          <w:numId w:val="1001"/>
          <w:ilvl w:val="0"/>
        </w:numPr>
      </w:pPr>
      <w:r>
        <w:t xml:space="preserve">celle de Orange et XP Fibre sur 41 communes ;</w:t>
      </w:r>
    </w:p>
    <w:p>
      <w:pPr>
        <w:pStyle w:val="Compact"/>
        <w:numPr>
          <w:numId w:val="1001"/>
          <w:ilvl w:val="0"/>
        </w:numPr>
      </w:pPr>
      <w:r>
        <w:t xml:space="preserve">celle de CD Isère dans la zone d’initiative publique qui comprend 466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Très Dense</w:t>
            </w:r>
          </w:p>
        </w:tc>
        <w:tc>
          <w:p>
            <w:pPr>
              <w:pStyle w:val="Compact"/>
              <w:jc w:val="left"/>
            </w:pPr>
            <w:r>
              <w:t xml:space="preserve">169 916</w:t>
            </w:r>
            <w:r>
              <w:t xml:space="preserve"> </w:t>
            </w:r>
            <w:r>
              <w:rPr>
                <w:i/>
              </w:rPr>
              <w:t xml:space="preserve">21.0%</w:t>
            </w:r>
          </w:p>
        </w:tc>
        <w:tc>
          <w:p>
            <w:pPr>
              <w:pStyle w:val="Compact"/>
              <w:jc w:val="left"/>
            </w:pPr>
            <w:r>
              <w:t xml:space="preserve">159 739</w:t>
            </w:r>
            <w:r>
              <w:t xml:space="preserve"> </w:t>
            </w:r>
            <w:r>
              <w:rPr>
                <w:i/>
              </w:rPr>
              <w:t xml:space="preserve">94.0%</w:t>
            </w:r>
          </w:p>
        </w:tc>
      </w:tr>
      <w:tr>
        <w:tc>
          <w:p>
            <w:pPr>
              <w:pStyle w:val="Compact"/>
              <w:jc w:val="left"/>
            </w:pPr>
            <w:r>
              <w:t xml:space="preserve">Zone AMII</w:t>
            </w:r>
          </w:p>
        </w:tc>
        <w:tc>
          <w:p>
            <w:pPr>
              <w:pStyle w:val="Compact"/>
              <w:jc w:val="left"/>
            </w:pPr>
            <w:r>
              <w:t xml:space="preserve">185 270</w:t>
            </w:r>
            <w:r>
              <w:t xml:space="preserve"> </w:t>
            </w:r>
            <w:r>
              <w:rPr>
                <w:i/>
              </w:rPr>
              <w:t xml:space="preserve">23.0%</w:t>
            </w:r>
          </w:p>
        </w:tc>
        <w:tc>
          <w:p>
            <w:pPr>
              <w:pStyle w:val="Compact"/>
              <w:jc w:val="left"/>
            </w:pPr>
            <w:r>
              <w:t xml:space="preserve">169 903</w:t>
            </w:r>
            <w:r>
              <w:t xml:space="preserve"> </w:t>
            </w:r>
            <w:r>
              <w:rPr>
                <w:i/>
              </w:rPr>
              <w:t xml:space="preserve">92.0%</w:t>
            </w:r>
          </w:p>
        </w:tc>
      </w:tr>
      <w:tr>
        <w:tc>
          <w:p>
            <w:pPr>
              <w:pStyle w:val="Compact"/>
              <w:jc w:val="left"/>
            </w:pPr>
            <w:r>
              <w:t xml:space="preserve">Zone RIP</w:t>
            </w:r>
          </w:p>
        </w:tc>
        <w:tc>
          <w:p>
            <w:pPr>
              <w:pStyle w:val="Compact"/>
              <w:jc w:val="left"/>
            </w:pPr>
            <w:r>
              <w:t xml:space="preserve">457 800</w:t>
            </w:r>
            <w:r>
              <w:t xml:space="preserve"> </w:t>
            </w:r>
            <w:r>
              <w:rPr>
                <w:i/>
              </w:rPr>
              <w:t xml:space="preserve">56.0%</w:t>
            </w:r>
          </w:p>
        </w:tc>
        <w:tc>
          <w:p>
            <w:pPr>
              <w:pStyle w:val="Compact"/>
              <w:jc w:val="left"/>
            </w:pPr>
            <w:r>
              <w:t xml:space="preserve">318 674</w:t>
            </w:r>
            <w:r>
              <w:t xml:space="preserve"> </w:t>
            </w:r>
            <w:r>
              <w:rPr>
                <w:i/>
              </w:rPr>
              <w:t xml:space="preserve">70.0%</w:t>
            </w:r>
          </w:p>
        </w:tc>
      </w:tr>
      <w:tr>
        <w:tc>
          <w:p>
            <w:pPr>
              <w:pStyle w:val="Compact"/>
              <w:jc w:val="left"/>
            </w:pPr>
            <w:r>
              <w:rPr>
                <w:b/>
              </w:rPr>
              <w:t xml:space="preserve">Total</w:t>
            </w:r>
          </w:p>
        </w:tc>
        <w:tc>
          <w:p>
            <w:pPr>
              <w:pStyle w:val="Compact"/>
              <w:jc w:val="left"/>
            </w:pPr>
            <w:r>
              <w:t xml:space="preserve">812 986</w:t>
            </w:r>
            <w:r>
              <w:t xml:space="preserve"> </w:t>
            </w:r>
            <w:r>
              <w:rPr>
                <w:i/>
              </w:rPr>
              <w:t xml:space="preserve">100%</w:t>
            </w:r>
          </w:p>
        </w:tc>
        <w:tc>
          <w:p>
            <w:pPr>
              <w:pStyle w:val="Compact"/>
              <w:jc w:val="left"/>
            </w:pPr>
            <w:r>
              <w:t xml:space="preserve">648 316</w:t>
            </w:r>
            <w:r>
              <w:t xml:space="preserve"> </w:t>
            </w:r>
            <w:r>
              <w:rPr>
                <w:i/>
              </w:rPr>
              <w:t xml:space="preserve">80.0%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41 en région «Auvergne-Rhône-Alpes» et 7 dans le département :</w:t>
      </w:r>
    </w:p>
    <w:p>
      <w:pPr>
        <w:pStyle w:val="Compact"/>
        <w:numPr>
          <w:numId w:val="1002"/>
          <w:ilvl w:val="0"/>
        </w:numPr>
      </w:pPr>
      <w:r>
        <w:t xml:space="preserve">Big Bang Ballers France et CEMEA Rhône-Alpes à Grenoble</w:t>
      </w:r>
    </w:p>
    <w:p>
      <w:pPr>
        <w:pStyle w:val="Compact"/>
        <w:numPr>
          <w:numId w:val="1002"/>
          <w:ilvl w:val="0"/>
        </w:numPr>
      </w:pPr>
      <w:r>
        <w:t xml:space="preserve">Le Grand Collectif à Grenoble</w:t>
      </w:r>
    </w:p>
    <w:p>
      <w:pPr>
        <w:pStyle w:val="Compact"/>
        <w:numPr>
          <w:numId w:val="1002"/>
          <w:ilvl w:val="0"/>
        </w:numPr>
      </w:pPr>
      <w:r>
        <w:t xml:space="preserve">Régie de Quartier Villeneuve Village Olympique - Grenoble à Grenoble</w:t>
      </w:r>
    </w:p>
    <w:p>
      <w:pPr>
        <w:pStyle w:val="Compact"/>
        <w:numPr>
          <w:numId w:val="1002"/>
          <w:ilvl w:val="0"/>
        </w:numPr>
      </w:pPr>
      <w:r>
        <w:t xml:space="preserve">Luz’In à La Tour-du-Pin</w:t>
      </w:r>
    </w:p>
    <w:p>
      <w:pPr>
        <w:pStyle w:val="Compact"/>
        <w:numPr>
          <w:numId w:val="1002"/>
          <w:ilvl w:val="0"/>
        </w:numPr>
      </w:pPr>
      <w:r>
        <w:t xml:space="preserve">SCIC SA TRI Rhône-Alpes (Société Coopérative d’Intérêt Collectif) à Pont-Évêque</w:t>
      </w:r>
    </w:p>
    <w:p>
      <w:pPr>
        <w:pStyle w:val="Compact"/>
        <w:numPr>
          <w:numId w:val="1002"/>
          <w:ilvl w:val="0"/>
        </w:numPr>
      </w:pPr>
      <w:r>
        <w:t xml:space="preserve">CCAS de Saint-Marcellin à Saint-Marcellin</w:t>
      </w:r>
    </w:p>
    <w:p>
      <w:pPr>
        <w:pStyle w:val="Compact"/>
        <w:numPr>
          <w:numId w:val="1002"/>
          <w:ilvl w:val="0"/>
        </w:numPr>
      </w:pPr>
      <w:r>
        <w:t xml:space="preserve">Nom du consortium : Sentiers communs</w:t>
      </w:r>
      <w:r>
        <w:t xml:space="preserve"> </w:t>
      </w:r>
      <w:r>
        <w:t xml:space="preserve">Nom du porteur administratif : Vert&amp;Co</w:t>
      </w:r>
      <w:r>
        <w:t xml:space="preserve"> </w:t>
      </w:r>
      <w:r>
        <w:t xml:space="preserve">Partenaires membres du consortium : La Jolie Colo, Uto-pic, Agopop à Villard-de-Lans</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2 dans le département:</w:t>
      </w:r>
    </w:p>
    <w:p>
      <w:pPr>
        <w:pStyle w:val="Compact"/>
        <w:numPr>
          <w:numId w:val="1003"/>
          <w:ilvl w:val="0"/>
        </w:numPr>
      </w:pPr>
      <w:r>
        <w:t xml:space="preserve">LUZ’IN (La Tour-du-Pin)</w:t>
      </w:r>
    </w:p>
    <w:p>
      <w:pPr>
        <w:pStyle w:val="Compact"/>
        <w:numPr>
          <w:numId w:val="1003"/>
          <w:ilvl w:val="0"/>
        </w:numPr>
      </w:pPr>
      <w:r>
        <w:t xml:space="preserve">Le Pôle’R, une manufacture de proximité dédiée à l’économie circulaire (Grenoble)</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«Auvergne-Rhône-Alpes» est couverte par le(s) Hub(s) :</w:t>
      </w:r>
      <w:r>
        <w:t xml:space="preserve"> </w:t>
      </w:r>
      <w:r>
        <w:t xml:space="preserve">Hinaura.</w:t>
      </w:r>
    </w:p>
    <w:p>
      <w:pPr>
        <w:pStyle w:val="Titre2"/>
      </w:pPr>
      <w:bookmarkStart w:id="27" w:name="conseillers-numériques"/>
      <w:r>
        <w:t xml:space="preserve">Conseillers numériques</w:t>
      </w:r>
      <w:bookmarkEnd w:id="27"/>
    </w:p>
    <w:p>
      <w:pPr>
        <w:pStyle w:val="Compact"/>
        <w:numPr>
          <w:numId w:val="1004"/>
          <w:ilvl w:val="0"/>
        </w:numPr>
      </w:pPr>
      <w:r>
        <w:t xml:space="preserve">42 CNFS validés dans 28 structures d’accueil</w:t>
      </w:r>
    </w:p>
    <w:p>
      <w:pPr>
        <w:pStyle w:val="Compact"/>
        <w:numPr>
          <w:numId w:val="1004"/>
          <w:ilvl w:val="0"/>
        </w:numPr>
      </w:pPr>
      <w:r>
        <w:t xml:space="preserve">31 CNFS recrutés</w:t>
      </w:r>
    </w:p>
    <w:p>
      <w:pPr>
        <w:pStyle w:val="Compact"/>
        <w:numPr>
          <w:numId w:val="1004"/>
          <w:ilvl w:val="0"/>
        </w:numPr>
      </w:pPr>
      <w:r>
        <w:t xml:space="preserve">1 CNFS en formation</w:t>
      </w:r>
    </w:p>
    <w:p>
      <w:pPr>
        <w:pStyle w:val="Compact"/>
        <w:numPr>
          <w:numId w:val="1004"/>
          <w:ilvl w:val="0"/>
        </w:numPr>
      </w:pPr>
      <w:r>
        <w:t xml:space="preserve">26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67 structures candidates</w:t>
      </w:r>
    </w:p>
    <w:p>
      <w:pPr>
        <w:pStyle w:val="Compact"/>
        <w:numPr>
          <w:numId w:val="1005"/>
          <w:ilvl w:val="0"/>
        </w:numPr>
      </w:pPr>
      <w:r>
        <w:t xml:space="preserve">209 aidants à habiliter au total</w:t>
      </w:r>
    </w:p>
    <w:p>
      <w:pPr>
        <w:pStyle w:val="Compact"/>
        <w:numPr>
          <w:numId w:val="1005"/>
          <w:ilvl w:val="0"/>
        </w:numPr>
      </w:pPr>
      <w:r>
        <w:t xml:space="preserve">66 structures ont finalisé leur habilitation (179 aidants formés au 16 septembre 2024)</w:t>
      </w:r>
    </w:p>
    <w:p>
      <w:pPr>
        <w:pStyle w:val="Titre2"/>
      </w:pPr>
      <w:bookmarkStart w:id="29" w:name="bases-adresses-locales"/>
      <w:r>
        <w:t xml:space="preserve">Bases adresses locales</w:t>
      </w:r>
      <w:bookmarkEnd w:id="29"/>
    </w:p>
    <w:p>
      <w:pPr>
        <w:pStyle w:val="FirstParagraph"/>
      </w:pPr>
      <w:r>
        <w:t xml:space="preserve">408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04:15.</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2024-09-19T02:15:11Z</dcterms:created>
  <dcterms:modified xsi:type="dcterms:W3CDTF">2024-09-19T02:15:11Z</dcterms:modified>
</cp:coreProperties>
</file>

<file path=docProps/custom.xml><?xml version="1.0" encoding="utf-8"?>
<Properties xmlns="http://schemas.openxmlformats.org/officeDocument/2006/custom-properties" xmlns:vt="http://schemas.openxmlformats.org/officeDocument/2006/docPropsVTypes"/>
</file>