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gironde"/>
      <w:r>
        <w:t xml:space="preserve">Numérique «Gironde»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«Nouvelle-Aquitaine», 536 sites ont été identifiés dont 37 dans le</w:t>
      </w:r>
      <w:r>
        <w:t xml:space="preserve"> </w:t>
      </w:r>
      <w:r>
        <w:t xml:space="preserve">département, parmi eux, 23 ont d’ores et déjà été mis en</w:t>
      </w:r>
      <w:r>
        <w:t xml:space="preserve"> </w:t>
      </w:r>
      <w:r>
        <w:t xml:space="preserve">service (sur un total de 350 mis en service au niveau régional).</w:t>
      </w:r>
    </w:p>
    <w:p>
      <w:pPr>
        <w:pStyle w:val="Corpsdetexte"/>
      </w:pPr>
      <w:r>
        <w:t xml:space="preserve">Dans le cadre du dispositif 4G fixe, dans la région</w:t>
      </w:r>
      <w:r>
        <w:t xml:space="preserve"> </w:t>
      </w:r>
      <w:r>
        <w:t xml:space="preserve">«Nouvelle-Aquitaine», 239 sites ont été identifiés dont 23 dans le</w:t>
      </w:r>
      <w:r>
        <w:t xml:space="preserve"> </w:t>
      </w:r>
      <w:r>
        <w:t xml:space="preserve">département, 15 ont déjà été mis en service</w:t>
      </w:r>
      <w:r>
        <w:t xml:space="preserve"> </w:t>
      </w:r>
      <w:r>
        <w:t xml:space="preserve">sur 172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02767"/>
            <wp:effectExtent b="0" l="0" r="0" t="0"/>
            <wp:docPr descr="" title="" id="1" name="Picture"/>
            <a:graphic>
              <a:graphicData uri="http://schemas.openxmlformats.org/drawingml/2006/picture">
                <pic:pic>
                  <pic:nvPicPr>
                    <pic:cNvPr descr="/srv/insitu/outbox/infographies/haut_débit/33.png" id="0" name="Picture"/>
                    <pic:cNvPicPr>
                      <a:picLocks noChangeArrowheads="1" noChangeAspect="1"/>
                    </pic:cNvPicPr>
                  </pic:nvPicPr>
                  <pic:blipFill>
                    <a:blip r:embed="rId23"/>
                    <a:stretch>
                      <a:fillRect/>
                    </a:stretch>
                  </pic:blipFill>
                  <pic:spPr bwMode="auto">
                    <a:xfrm>
                      <a:off x="0" y="0"/>
                      <a:ext cx="4572000" cy="2302767"/>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L’initiative privée des opérateurs dans la zone très dense, qui comprend 1 communes ;</w:t>
      </w:r>
    </w:p>
    <w:p>
      <w:pPr>
        <w:pStyle w:val="Compact"/>
        <w:numPr>
          <w:numId w:val="1001"/>
          <w:ilvl w:val="0"/>
        </w:numPr>
      </w:pPr>
      <w:r>
        <w:t xml:space="preserve">celle de Orange sur 28 communes ;</w:t>
      </w:r>
    </w:p>
    <w:p>
      <w:pPr>
        <w:pStyle w:val="Compact"/>
        <w:numPr>
          <w:numId w:val="1001"/>
          <w:ilvl w:val="0"/>
        </w:numPr>
      </w:pPr>
      <w:r>
        <w:t xml:space="preserve">celle de Gironde Numérique dans la zone d’initiative publique qui comprend 506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208 193</w:t>
            </w:r>
            <w:r>
              <w:t xml:space="preserve"> </w:t>
            </w:r>
            <w:r>
              <w:rPr>
                <w:i/>
              </w:rPr>
              <w:t xml:space="preserve">19.0%</w:t>
            </w:r>
          </w:p>
        </w:tc>
        <w:tc>
          <w:p>
            <w:pPr>
              <w:pStyle w:val="Compact"/>
              <w:jc w:val="left"/>
            </w:pPr>
            <w:r>
              <w:t xml:space="preserve">189 399</w:t>
            </w:r>
            <w:r>
              <w:t xml:space="preserve"> </w:t>
            </w:r>
            <w:r>
              <w:rPr>
                <w:i/>
              </w:rPr>
              <w:t xml:space="preserve">91.0%</w:t>
            </w:r>
          </w:p>
        </w:tc>
      </w:tr>
      <w:tr>
        <w:tc>
          <w:p>
            <w:pPr>
              <w:pStyle w:val="Compact"/>
              <w:jc w:val="left"/>
            </w:pPr>
            <w:r>
              <w:t xml:space="preserve">Zone AMII</w:t>
            </w:r>
          </w:p>
        </w:tc>
        <w:tc>
          <w:p>
            <w:pPr>
              <w:pStyle w:val="Compact"/>
              <w:jc w:val="left"/>
            </w:pPr>
            <w:r>
              <w:t xml:space="preserve">364 127</w:t>
            </w:r>
            <w:r>
              <w:t xml:space="preserve"> </w:t>
            </w:r>
            <w:r>
              <w:rPr>
                <w:i/>
              </w:rPr>
              <w:t xml:space="preserve">33.0%</w:t>
            </w:r>
          </w:p>
        </w:tc>
        <w:tc>
          <w:p>
            <w:pPr>
              <w:pStyle w:val="Compact"/>
              <w:jc w:val="left"/>
            </w:pPr>
            <w:r>
              <w:t xml:space="preserve">340 285</w:t>
            </w:r>
            <w:r>
              <w:t xml:space="preserve"> </w:t>
            </w:r>
            <w:r>
              <w:rPr>
                <w:i/>
              </w:rPr>
              <w:t xml:space="preserve">93.0%</w:t>
            </w:r>
          </w:p>
        </w:tc>
      </w:tr>
      <w:tr>
        <w:tc>
          <w:p>
            <w:pPr>
              <w:pStyle w:val="Compact"/>
              <w:jc w:val="left"/>
            </w:pPr>
            <w:r>
              <w:t xml:space="preserve">Zone RIP</w:t>
            </w:r>
          </w:p>
        </w:tc>
        <w:tc>
          <w:p>
            <w:pPr>
              <w:pStyle w:val="Compact"/>
              <w:jc w:val="left"/>
            </w:pPr>
            <w:r>
              <w:t xml:space="preserve">521 379</w:t>
            </w:r>
            <w:r>
              <w:t xml:space="preserve"> </w:t>
            </w:r>
            <w:r>
              <w:rPr>
                <w:i/>
              </w:rPr>
              <w:t xml:space="preserve">48.0%</w:t>
            </w:r>
          </w:p>
        </w:tc>
        <w:tc>
          <w:p>
            <w:pPr>
              <w:pStyle w:val="Compact"/>
              <w:jc w:val="left"/>
            </w:pPr>
            <w:r>
              <w:t xml:space="preserve">439 279</w:t>
            </w:r>
            <w:r>
              <w:t xml:space="preserve"> </w:t>
            </w:r>
            <w:r>
              <w:rPr>
                <w:i/>
              </w:rPr>
              <w:t xml:space="preserve">84.0%</w:t>
            </w:r>
          </w:p>
        </w:tc>
      </w:tr>
      <w:tr>
        <w:tc>
          <w:p>
            <w:pPr>
              <w:pStyle w:val="Compact"/>
              <w:jc w:val="left"/>
            </w:pPr>
            <w:r>
              <w:rPr>
                <w:b/>
              </w:rPr>
              <w:t xml:space="preserve">Total</w:t>
            </w:r>
          </w:p>
        </w:tc>
        <w:tc>
          <w:p>
            <w:pPr>
              <w:pStyle w:val="Compact"/>
              <w:jc w:val="left"/>
            </w:pPr>
            <w:r>
              <w:t xml:space="preserve">1 093 699</w:t>
            </w:r>
            <w:r>
              <w:t xml:space="preserve"> </w:t>
            </w:r>
            <w:r>
              <w:rPr>
                <w:i/>
              </w:rPr>
              <w:t xml:space="preserve">100%</w:t>
            </w:r>
          </w:p>
        </w:tc>
        <w:tc>
          <w:p>
            <w:pPr>
              <w:pStyle w:val="Compact"/>
              <w:jc w:val="left"/>
            </w:pPr>
            <w:r>
              <w:t xml:space="preserve">968 963</w:t>
            </w:r>
            <w:r>
              <w:t xml:space="preserve"> </w:t>
            </w:r>
            <w:r>
              <w:rPr>
                <w:i/>
              </w:rPr>
              <w:t xml:space="preserve">89.0%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30 en région «Nouvelle-Aquitaine» et 6 dans le département :</w:t>
      </w:r>
    </w:p>
    <w:p>
      <w:pPr>
        <w:pStyle w:val="Compact"/>
        <w:numPr>
          <w:numId w:val="1002"/>
          <w:ilvl w:val="0"/>
        </w:numPr>
      </w:pPr>
      <w:r>
        <w:t xml:space="preserve">ïkos à Bordeaux</w:t>
      </w:r>
    </w:p>
    <w:p>
      <w:pPr>
        <w:pStyle w:val="Compact"/>
        <w:numPr>
          <w:numId w:val="1002"/>
          <w:ilvl w:val="0"/>
        </w:numPr>
      </w:pPr>
      <w:r>
        <w:t xml:space="preserve">Bordeaux Ecole Numérique à Bègles</w:t>
      </w:r>
    </w:p>
    <w:p>
      <w:pPr>
        <w:pStyle w:val="Compact"/>
        <w:numPr>
          <w:numId w:val="1002"/>
          <w:ilvl w:val="0"/>
        </w:numPr>
      </w:pPr>
      <w:r>
        <w:t xml:space="preserve">Porteur Usine 209 avec le consortium ÉCLOSION ( Arrêt Minute, Nouvel’R, Bordeaux Technowest, La Cali, Esprit de solidarité ) à Le Fieu</w:t>
      </w:r>
    </w:p>
    <w:p>
      <w:pPr>
        <w:pStyle w:val="Compact"/>
        <w:numPr>
          <w:numId w:val="1002"/>
          <w:ilvl w:val="0"/>
        </w:numPr>
      </w:pPr>
      <w:r>
        <w:t xml:space="preserve">La Cocotte Minute Coworking et le Réseau Médoc tiers-lieux à Lesparre-Médoc</w:t>
      </w:r>
    </w:p>
    <w:p>
      <w:pPr>
        <w:pStyle w:val="Compact"/>
        <w:numPr>
          <w:numId w:val="1002"/>
          <w:ilvl w:val="0"/>
        </w:numPr>
      </w:pPr>
      <w:r>
        <w:t xml:space="preserve">L’Entre2Mondes à Sadirac</w:t>
      </w:r>
    </w:p>
    <w:p>
      <w:pPr>
        <w:pStyle w:val="Compact"/>
        <w:numPr>
          <w:numId w:val="1002"/>
          <w:ilvl w:val="0"/>
        </w:numPr>
      </w:pPr>
      <w:r>
        <w:t xml:space="preserve">COEUR DE BASTIDE à Sainte-Foy-la-Grande</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2 dans le département:</w:t>
      </w:r>
    </w:p>
    <w:p>
      <w:pPr>
        <w:pStyle w:val="Compact"/>
        <w:numPr>
          <w:numId w:val="1003"/>
          <w:ilvl w:val="0"/>
        </w:numPr>
      </w:pPr>
      <w:r>
        <w:t xml:space="preserve">LA CABANE (Gujan-Mestras)</w:t>
      </w:r>
    </w:p>
    <w:p>
      <w:pPr>
        <w:pStyle w:val="Compact"/>
        <w:numPr>
          <w:numId w:val="1003"/>
          <w:ilvl w:val="0"/>
        </w:numPr>
      </w:pPr>
      <w:r>
        <w:t xml:space="preserve">Le Garage Ultra-Moderne (Bordeaux)</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«Nouvelle-Aquitaine» est couverte par le(s) Hub(s) :</w:t>
      </w:r>
      <w:r>
        <w:t xml:space="preserve"> </w:t>
      </w:r>
      <w:r>
        <w:t xml:space="preserve">HUBe-RT et Hubik.</w:t>
      </w:r>
    </w:p>
    <w:p>
      <w:pPr>
        <w:pStyle w:val="Titre2"/>
      </w:pPr>
      <w:bookmarkStart w:id="27" w:name="conseillers-numériques"/>
      <w:r>
        <w:t xml:space="preserve">Conseillers numériques</w:t>
      </w:r>
      <w:bookmarkEnd w:id="27"/>
    </w:p>
    <w:p>
      <w:pPr>
        <w:pStyle w:val="Compact"/>
        <w:numPr>
          <w:numId w:val="1004"/>
          <w:ilvl w:val="0"/>
        </w:numPr>
      </w:pPr>
      <w:r>
        <w:t xml:space="preserve">85 CNFS validés dans 68 structures d’accueil</w:t>
      </w:r>
    </w:p>
    <w:p>
      <w:pPr>
        <w:pStyle w:val="Compact"/>
        <w:numPr>
          <w:numId w:val="1004"/>
          <w:ilvl w:val="0"/>
        </w:numPr>
      </w:pPr>
      <w:r>
        <w:t xml:space="preserve">75 CNFS recrutés</w:t>
      </w:r>
    </w:p>
    <w:p>
      <w:pPr>
        <w:pStyle w:val="Compact"/>
        <w:numPr>
          <w:numId w:val="1004"/>
          <w:ilvl w:val="0"/>
        </w:numPr>
      </w:pPr>
      <w:r>
        <w:t xml:space="preserve">0 CNFS en formation</w:t>
      </w:r>
    </w:p>
    <w:p>
      <w:pPr>
        <w:pStyle w:val="Compact"/>
        <w:numPr>
          <w:numId w:val="1004"/>
          <w:ilvl w:val="0"/>
        </w:numPr>
      </w:pPr>
      <w:r>
        <w:t xml:space="preserve">55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110 structures candidates</w:t>
      </w:r>
    </w:p>
    <w:p>
      <w:pPr>
        <w:pStyle w:val="Compact"/>
        <w:numPr>
          <w:numId w:val="1005"/>
          <w:ilvl w:val="0"/>
        </w:numPr>
      </w:pPr>
      <w:r>
        <w:t xml:space="preserve">339 aidants à habiliter au total</w:t>
      </w:r>
    </w:p>
    <w:p>
      <w:pPr>
        <w:pStyle w:val="Compact"/>
        <w:numPr>
          <w:numId w:val="1005"/>
          <w:ilvl w:val="0"/>
        </w:numPr>
      </w:pPr>
      <w:r>
        <w:t xml:space="preserve">106 structures ont finalisé leur habilitation (312 aidants formés au 16 septembre 2024)</w:t>
      </w:r>
    </w:p>
    <w:p>
      <w:pPr>
        <w:pStyle w:val="Titre2"/>
      </w:pPr>
      <w:bookmarkStart w:id="29" w:name="bases-adresses-locales"/>
      <w:r>
        <w:t xml:space="preserve">Bases adresses locales</w:t>
      </w:r>
      <w:bookmarkEnd w:id="29"/>
    </w:p>
    <w:p>
      <w:pPr>
        <w:pStyle w:val="FirstParagraph"/>
      </w:pPr>
      <w:r>
        <w:t xml:space="preserve">308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2024-09-19T02:15:03Z</dcterms:created>
  <dcterms:modified xsi:type="dcterms:W3CDTF">2024-09-19T02:15:03Z</dcterms:modified>
</cp:coreProperties>
</file>

<file path=docProps/custom.xml><?xml version="1.0" encoding="utf-8"?>
<Properties xmlns="http://schemas.openxmlformats.org/officeDocument/2006/custom-properties" xmlns:vt="http://schemas.openxmlformats.org/officeDocument/2006/docPropsVTypes"/>
</file>