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4.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corse-du-sud"/>
      <w:r>
        <w:t xml:space="preserve">Numérique «Corse-du-Sud»</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«Corse», 112 sites ont été identifiés dont 51 dans le</w:t>
      </w:r>
      <w:r>
        <w:t xml:space="preserve"> </w:t>
      </w:r>
      <w:r>
        <w:t xml:space="preserve">département, parmi eux, 21 ont d’ores et déjà été mis en</w:t>
      </w:r>
      <w:r>
        <w:t xml:space="preserve"> </w:t>
      </w:r>
      <w:r>
        <w:t xml:space="preserve">service (sur un total de 55 mis en service au niveau régional).</w:t>
      </w:r>
    </w:p>
    <w:p>
      <w:pPr>
        <w:pStyle w:val="Corpsdetexte"/>
      </w:pPr>
      <w:r>
        <w:t xml:space="preserve">Dans le cadre du dispositif 4G fixe, dans la région</w:t>
      </w:r>
      <w:r>
        <w:t xml:space="preserve"> </w:t>
      </w:r>
      <w:r>
        <w:t xml:space="preserve">«Corse», 16 sites ont été identifiés dont 7 dans le</w:t>
      </w:r>
      <w:r>
        <w:t xml:space="preserve"> </w:t>
      </w:r>
      <w:r>
        <w:t xml:space="preserve">département, 3 ont déjà été mis en service</w:t>
      </w:r>
      <w:r>
        <w:t xml:space="preserve"> </w:t>
      </w:r>
      <w:r>
        <w:t xml:space="preserve">sur 10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w:t>
      </w:r>
      <w:r>
        <w:rPr>
          <w:rStyle w:val="FootnoteReference"/>
        </w:rPr>
        <w:footnoteReference w:id="23"/>
      </w:r>
      <w:r>
        <w:t xml:space="preserve"> </w:t>
      </w:r>
      <w:r>
        <w:t xml:space="preserve">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96519"/>
            <wp:effectExtent b="0" l="0" r="0" t="0"/>
            <wp:docPr descr="" title="" id="1" name="Picture"/>
            <a:graphic>
              <a:graphicData uri="http://schemas.openxmlformats.org/drawingml/2006/picture">
                <pic:pic>
                  <pic:nvPicPr>
                    <pic:cNvPr descr="/srv/insitu/outbox/infographies/haut_débit/2A.png" id="0" name="Picture"/>
                    <pic:cNvPicPr>
                      <a:picLocks noChangeArrowheads="1" noChangeAspect="1"/>
                    </pic:cNvPicPr>
                  </pic:nvPicPr>
                  <pic:blipFill>
                    <a:blip r:embed="rId24"/>
                    <a:stretch>
                      <a:fillRect/>
                    </a:stretch>
                  </pic:blipFill>
                  <pic:spPr bwMode="auto">
                    <a:xfrm>
                      <a:off x="0" y="0"/>
                      <a:ext cx="4572000" cy="2396519"/>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10 communes ;</w:t>
      </w:r>
    </w:p>
    <w:p>
      <w:pPr>
        <w:pStyle w:val="Compact"/>
        <w:numPr>
          <w:numId w:val="1001"/>
          <w:ilvl w:val="0"/>
        </w:numPr>
      </w:pPr>
      <w:r>
        <w:t xml:space="preserve">celle de CT Corse dans la zone d’initiative publique qui comprend 114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57 167</w:t>
            </w:r>
            <w:r>
              <w:t xml:space="preserve"> </w:t>
            </w:r>
            <w:r>
              <w:rPr>
                <w:i/>
              </w:rPr>
              <w:t xml:space="preserve">39.0%</w:t>
            </w:r>
          </w:p>
        </w:tc>
        <w:tc>
          <w:p>
            <w:pPr>
              <w:pStyle w:val="Compact"/>
              <w:jc w:val="left"/>
            </w:pPr>
            <w:r>
              <w:t xml:space="preserve">54 097</w:t>
            </w:r>
            <w:r>
              <w:t xml:space="preserve"> </w:t>
            </w:r>
            <w:r>
              <w:rPr>
                <w:i/>
              </w:rPr>
              <w:t xml:space="preserve">95.0%</w:t>
            </w:r>
          </w:p>
        </w:tc>
      </w:tr>
      <w:tr>
        <w:tc>
          <w:p>
            <w:pPr>
              <w:pStyle w:val="Compact"/>
              <w:jc w:val="left"/>
            </w:pPr>
            <w:r>
              <w:t xml:space="preserve">Zone RIP</w:t>
            </w:r>
          </w:p>
        </w:tc>
        <w:tc>
          <w:p>
            <w:pPr>
              <w:pStyle w:val="Compact"/>
              <w:jc w:val="left"/>
            </w:pPr>
            <w:r>
              <w:t xml:space="preserve">89 103</w:t>
            </w:r>
            <w:r>
              <w:t xml:space="preserve"> </w:t>
            </w:r>
            <w:r>
              <w:rPr>
                <w:i/>
              </w:rPr>
              <w:t xml:space="preserve">61.0%</w:t>
            </w:r>
          </w:p>
        </w:tc>
        <w:tc>
          <w:p>
            <w:pPr>
              <w:pStyle w:val="Compact"/>
              <w:jc w:val="left"/>
            </w:pPr>
            <w:r>
              <w:t xml:space="preserve">59 569</w:t>
            </w:r>
            <w:r>
              <w:t xml:space="preserve"> </w:t>
            </w:r>
            <w:r>
              <w:rPr>
                <w:i/>
              </w:rPr>
              <w:t xml:space="preserve">67.0%</w:t>
            </w:r>
          </w:p>
        </w:tc>
      </w:tr>
      <w:tr>
        <w:tc>
          <w:p>
            <w:pPr>
              <w:pStyle w:val="Compact"/>
              <w:jc w:val="left"/>
            </w:pPr>
            <w:r>
              <w:rPr>
                <w:b/>
              </w:rPr>
              <w:t xml:space="preserve">Total</w:t>
            </w:r>
          </w:p>
        </w:tc>
        <w:tc>
          <w:p>
            <w:pPr>
              <w:pStyle w:val="Compact"/>
              <w:jc w:val="left"/>
            </w:pPr>
            <w:r>
              <w:t xml:space="preserve">146 270</w:t>
            </w:r>
            <w:r>
              <w:t xml:space="preserve"> </w:t>
            </w:r>
            <w:r>
              <w:rPr>
                <w:i/>
              </w:rPr>
              <w:t xml:space="preserve">100%</w:t>
            </w:r>
          </w:p>
        </w:tc>
        <w:tc>
          <w:p>
            <w:pPr>
              <w:pStyle w:val="Compact"/>
              <w:jc w:val="left"/>
            </w:pPr>
            <w:r>
              <w:t xml:space="preserve">113 666</w:t>
            </w:r>
            <w:r>
              <w:t xml:space="preserve"> </w:t>
            </w:r>
            <w:r>
              <w:rPr>
                <w:i/>
              </w:rPr>
              <w:t xml:space="preserve">78.0%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5" w:name="fabriques-numériques"/>
      <w:r>
        <w:t xml:space="preserve">Fabriques numériques</w:t>
      </w:r>
      <w:bookmarkEnd w:id="25"/>
    </w:p>
    <w:p>
      <w:pPr>
        <w:pStyle w:val="FirstParagraph"/>
      </w:pPr>
      <w:r>
        <w:t xml:space="preserve">300 fabriques ont déjà été retenues au titre de</w:t>
      </w:r>
      <w:r>
        <w:t xml:space="preserve"> </w:t>
      </w:r>
      <w:r>
        <w:t xml:space="preserve">l’AMI, dont 2 en région «Corse» et aucune dans le département.</w:t>
      </w:r>
    </w:p>
    <w:p>
      <w:pPr>
        <w:pStyle w:val="Titre2"/>
      </w:pPr>
      <w:bookmarkStart w:id="26" w:name="manufactures-de-proximité"/>
      <w:r>
        <w:t xml:space="preserve">Manufactures de proximité</w:t>
      </w:r>
      <w:bookmarkEnd w:id="26"/>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7" w:name="hubs-territoriaux"/>
      <w:r>
        <w:t xml:space="preserve">Hubs Territoriaux</w:t>
      </w:r>
      <w:bookmarkEnd w:id="27"/>
    </w:p>
    <w:p>
      <w:pPr>
        <w:pStyle w:val="FirstParagraph"/>
      </w:pPr>
      <w:r>
        <w:t xml:space="preserve">La totalité du territoire est couverte en hubs.</w:t>
      </w:r>
    </w:p>
    <w:p>
      <w:pPr>
        <w:pStyle w:val="Corpsdetexte"/>
      </w:pPr>
      <w:r>
        <w:t xml:space="preserve">La région «Corse» est couverte par le(s) Hub(s) :</w:t>
      </w:r>
      <w:r>
        <w:t xml:space="preserve"> </w:t>
      </w:r>
      <w:r>
        <w:t xml:space="preserve">Corse.</w:t>
      </w:r>
    </w:p>
    <w:p>
      <w:pPr>
        <w:pStyle w:val="Titre2"/>
      </w:pPr>
      <w:bookmarkStart w:id="28" w:name="conseillers-numériques"/>
      <w:r>
        <w:t xml:space="preserve">Conseillers numériques</w:t>
      </w:r>
      <w:bookmarkEnd w:id="28"/>
    </w:p>
    <w:p>
      <w:pPr>
        <w:pStyle w:val="Compact"/>
        <w:numPr>
          <w:numId w:val="1002"/>
          <w:ilvl w:val="0"/>
        </w:numPr>
      </w:pPr>
      <w:r>
        <w:t xml:space="preserve">16 CNFS validés dans 13 structures d’accueil</w:t>
      </w:r>
    </w:p>
    <w:p>
      <w:pPr>
        <w:pStyle w:val="Compact"/>
        <w:numPr>
          <w:numId w:val="1002"/>
          <w:ilvl w:val="0"/>
        </w:numPr>
      </w:pPr>
      <w:r>
        <w:t xml:space="preserve">15 CNFS recrutés</w:t>
      </w:r>
    </w:p>
    <w:p>
      <w:pPr>
        <w:pStyle w:val="Compact"/>
        <w:numPr>
          <w:numId w:val="1002"/>
          <w:ilvl w:val="0"/>
        </w:numPr>
      </w:pPr>
      <w:r>
        <w:t xml:space="preserve">0 CNFS en formation</w:t>
      </w:r>
    </w:p>
    <w:p>
      <w:pPr>
        <w:pStyle w:val="Compact"/>
        <w:numPr>
          <w:numId w:val="1002"/>
          <w:ilvl w:val="0"/>
        </w:numPr>
      </w:pPr>
      <w:r>
        <w:t xml:space="preserve">10 CNFS en poste</w:t>
      </w:r>
    </w:p>
    <w:p>
      <w:pPr>
        <w:pStyle w:val="Titre2"/>
      </w:pPr>
      <w:bookmarkStart w:id="29" w:name="aidants-connect"/>
      <w:r>
        <w:t xml:space="preserve">Aidants connect</w:t>
      </w:r>
      <w:bookmarkEnd w:id="29"/>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3"/>
          <w:ilvl w:val="0"/>
        </w:numPr>
      </w:pPr>
      <w:r>
        <w:t xml:space="preserve">15 structures candidates</w:t>
      </w:r>
    </w:p>
    <w:p>
      <w:pPr>
        <w:pStyle w:val="Compact"/>
        <w:numPr>
          <w:numId w:val="1003"/>
          <w:ilvl w:val="0"/>
        </w:numPr>
      </w:pPr>
      <w:r>
        <w:t xml:space="preserve">46 aidants à habiliter au total</w:t>
      </w:r>
    </w:p>
    <w:p>
      <w:pPr>
        <w:pStyle w:val="Compact"/>
        <w:numPr>
          <w:numId w:val="1003"/>
          <w:ilvl w:val="0"/>
        </w:numPr>
      </w:pPr>
      <w:r>
        <w:t xml:space="preserve">13 structures ont finalisé leur habilitation (46 aidants formés au 16 septembre 2024)</w:t>
      </w:r>
    </w:p>
    <w:p>
      <w:pPr>
        <w:pStyle w:val="Titre2"/>
      </w:pPr>
      <w:bookmarkStart w:id="30" w:name="bases-adresses-locales"/>
      <w:r>
        <w:t xml:space="preserve">Bases adresses locales</w:t>
      </w:r>
      <w:bookmarkEnd w:id="30"/>
    </w:p>
    <w:p>
      <w:pPr>
        <w:pStyle w:val="FirstParagraph"/>
      </w:pPr>
      <w:r>
        <w:t xml:space="preserve">62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1" w:name="fraîcheur-des-données"/>
      <w:r>
        <w:t xml:space="preserve">Fraîcheur des données</w:t>
      </w:r>
      <w:bookmarkEnd w:id="31"/>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4"/>
          <w:ilvl w:val="0"/>
        </w:numPr>
      </w:pPr>
      <w:r>
        <w:t xml:space="preserve">Aidants Connect : dernière mise à jour 16 septembre 2024</w:t>
      </w:r>
    </w:p>
    <w:p>
      <w:pPr>
        <w:pStyle w:val="Compact"/>
        <w:numPr>
          <w:numId w:val="1004"/>
          <w:ilvl w:val="0"/>
        </w:numPr>
      </w:pPr>
      <w:r>
        <w:t xml:space="preserve">Arcep – Technologies par commune : dernière mise à jour 05 avril 2024</w:t>
      </w:r>
    </w:p>
    <w:p>
      <w:pPr>
        <w:pStyle w:val="Compact"/>
        <w:numPr>
          <w:numId w:val="1004"/>
          <w:ilvl w:val="0"/>
        </w:numPr>
      </w:pPr>
      <w:r>
        <w:t xml:space="preserve">Conseillers numériques : dernière mise à jour 19 septembre 2024</w:t>
      </w:r>
    </w:p>
    <w:p>
      <w:pPr>
        <w:pStyle w:val="Compact"/>
        <w:numPr>
          <w:numId w:val="1004"/>
          <w:ilvl w:val="0"/>
        </w:numPr>
      </w:pPr>
      <w:r>
        <w:t xml:space="preserve">Fabriques de Territoire : dernière mise à jour 12 septembre 2024</w:t>
      </w:r>
    </w:p>
    <w:p>
      <w:pPr>
        <w:pStyle w:val="Compact"/>
        <w:numPr>
          <w:numId w:val="1004"/>
          <w:ilvl w:val="0"/>
        </w:numPr>
      </w:pPr>
      <w:r>
        <w:t xml:space="preserve">France Mobile : dernière mise à jour 31 mai 2024</w:t>
      </w:r>
    </w:p>
    <w:p>
      <w:pPr>
        <w:pStyle w:val="Compact"/>
        <w:numPr>
          <w:numId w:val="1004"/>
          <w:ilvl w:val="0"/>
        </w:numPr>
      </w:pPr>
      <w:r>
        <w:t xml:space="preserve">Hubs territoriaux</w:t>
      </w:r>
    </w:p>
    <w:p>
      <w:pPr>
        <w:pStyle w:val="Compact"/>
        <w:numPr>
          <w:numId w:val="1004"/>
          <w:ilvl w:val="0"/>
        </w:numPr>
      </w:pPr>
      <w:r>
        <w:t xml:space="preserve">Manufactures de proximité : dernière mise à jour 12 septembre 2024</w:t>
      </w:r>
    </w:p>
    <w:p>
      <w:pPr>
        <w:pStyle w:val="Compact"/>
        <w:numPr>
          <w:numId w:val="1004"/>
          <w:ilvl w:val="0"/>
        </w:numPr>
      </w:pPr>
      <w:r>
        <w:t xml:space="preserve">Structures d’accueil conseillers numériques : dernière mise à jour 19 septembre 2024</w:t>
      </w:r>
    </w:p>
    <w:p>
      <w:pPr>
        <w:pStyle w:val="Compact"/>
        <w:numPr>
          <w:numId w:val="1004"/>
          <w:ilvl w:val="0"/>
        </w:numPr>
      </w:pPr>
      <w:r>
        <w:t xml:space="preserve">Suivi Bases adresses locales</w:t>
      </w:r>
    </w:p>
    <w:p>
      <w:pPr>
        <w:pStyle w:val="Compact"/>
        <w:numPr>
          <w:numId w:val="1004"/>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Notedebasdepage"/>
      </w:pPr>
      <w:r>
        <w:rPr>
          <w:rStyle w:val="FootnoteReference"/>
        </w:rPr>
        <w:footnoteRef/>
      </w:r>
      <w:r>
        <w:t xml:space="preserve"> </w:t>
      </w:r>
      <w:r>
        <w:rPr>
          <w:i/>
        </w:rPr>
        <w:t xml:space="preserve">Les 1.10% de locaux non desservis au 05 avril 2024 par des</w:t>
      </w:r>
      <w:r>
        <w:rPr>
          <w:i/>
        </w:rPr>
        <w:t xml:space="preserve"> </w:t>
      </w:r>
      <w:r>
        <w:rPr>
          <w:i/>
        </w:rPr>
        <w:t xml:space="preserve">infrastructures terrestres permettant un bon haut débit peuvent</w:t>
      </w:r>
      <w:r>
        <w:rPr>
          <w:i/>
        </w:rPr>
        <w:t xml:space="preserve"> </w:t>
      </w:r>
      <w:r>
        <w:rPr>
          <w:i/>
        </w:rPr>
        <w:t xml:space="preserve">souscrire à une solution satellitaire offrant</w:t>
      </w:r>
      <w:r>
        <w:t xml:space="preserve"> </w:t>
      </w:r>
      <w:r>
        <w:t xml:space="preserve">a minima</w:t>
      </w:r>
      <w:r>
        <w:t xml:space="preserve"> </w:t>
      </w:r>
      <w:r>
        <w:rPr>
          <w:i/>
        </w:rPr>
        <w:t xml:space="preserve">8Mbit/s.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4" Target="media/rId24.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2024-09-19T02:14:35Z</dcterms:created>
  <dcterms:modified xsi:type="dcterms:W3CDTF">2024-09-19T02:14:35Z</dcterms:modified>
</cp:coreProperties>
</file>

<file path=docProps/custom.xml><?xml version="1.0" encoding="utf-8"?>
<Properties xmlns="http://schemas.openxmlformats.org/officeDocument/2006/custom-properties" xmlns:vt="http://schemas.openxmlformats.org/officeDocument/2006/docPropsVTypes"/>
</file>